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49B0D954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6E2642">
        <w:rPr>
          <w:rFonts w:ascii="Times New Roman" w:hAnsi="Times New Roman"/>
          <w:sz w:val="24"/>
          <w:szCs w:val="24"/>
        </w:rPr>
        <w:t>1</w:t>
      </w:r>
      <w:r w:rsidR="001A0773">
        <w:rPr>
          <w:rFonts w:ascii="Times New Roman" w:hAnsi="Times New Roman"/>
          <w:sz w:val="24"/>
          <w:szCs w:val="24"/>
        </w:rPr>
        <w:t>2</w:t>
      </w:r>
      <w:r w:rsidR="0050282E" w:rsidRPr="00CE03B1">
        <w:rPr>
          <w:rFonts w:ascii="Times New Roman" w:hAnsi="Times New Roman"/>
          <w:sz w:val="24"/>
          <w:szCs w:val="24"/>
        </w:rPr>
        <w:t xml:space="preserve"> від </w:t>
      </w:r>
      <w:r w:rsidR="001A0773">
        <w:rPr>
          <w:rFonts w:ascii="Times New Roman" w:hAnsi="Times New Roman"/>
          <w:sz w:val="24"/>
          <w:szCs w:val="24"/>
        </w:rPr>
        <w:t>12</w:t>
      </w:r>
      <w:r w:rsidR="006D0DA4">
        <w:rPr>
          <w:rFonts w:ascii="Times New Roman" w:hAnsi="Times New Roman"/>
          <w:sz w:val="24"/>
          <w:szCs w:val="24"/>
        </w:rPr>
        <w:t>.</w:t>
      </w:r>
      <w:r w:rsidR="006E2642">
        <w:rPr>
          <w:rFonts w:ascii="Times New Roman" w:hAnsi="Times New Roman"/>
          <w:sz w:val="24"/>
          <w:szCs w:val="24"/>
        </w:rPr>
        <w:t>0</w:t>
      </w:r>
      <w:r w:rsidR="00BD403C">
        <w:rPr>
          <w:rFonts w:ascii="Times New Roman" w:hAnsi="Times New Roman"/>
          <w:sz w:val="24"/>
          <w:szCs w:val="24"/>
        </w:rPr>
        <w:t>6</w:t>
      </w:r>
      <w:r w:rsidR="006D0DA4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 xml:space="preserve"> 20</w:t>
      </w:r>
      <w:r w:rsidR="006E2642">
        <w:rPr>
          <w:rFonts w:ascii="Times New Roman" w:hAnsi="Times New Roman"/>
          <w:sz w:val="24"/>
          <w:szCs w:val="24"/>
        </w:rPr>
        <w:t>2</w:t>
      </w:r>
      <w:r w:rsidR="001A0773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CF359D2" w:rsidR="0050282E" w:rsidRDefault="00C4452D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3BD4FBE" wp14:editId="1EC9C63A">
            <wp:simplePos x="0" y="0"/>
            <wp:positionH relativeFrom="column">
              <wp:posOffset>6737985</wp:posOffset>
            </wp:positionH>
            <wp:positionV relativeFrom="paragraph">
              <wp:posOffset>245110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2E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="0050282E"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10CF8CCB" w:rsidR="006D0DA4" w:rsidRDefault="00C4452D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</w:t>
      </w:r>
      <w:proofErr w:type="spellStart"/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F19BE">
        <w:rPr>
          <w:rFonts w:ascii="Times New Roman" w:eastAsia="Times New Roman" w:hAnsi="Times New Roman"/>
          <w:b/>
          <w:color w:val="000000"/>
          <w:sz w:val="32"/>
          <w:szCs w:val="32"/>
        </w:rPr>
        <w:t>для</w:t>
      </w:r>
    </w:p>
    <w:p w14:paraId="594AF3CF" w14:textId="3E92D775" w:rsidR="0050282E" w:rsidRPr="00B75914" w:rsidRDefault="00BF19B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к</w:t>
      </w:r>
      <w:r w:rsidRPr="00BF19BE">
        <w:rPr>
          <w:rFonts w:ascii="Times New Roman" w:eastAsia="Times New Roman" w:hAnsi="Times New Roman"/>
          <w:b/>
          <w:color w:val="000000"/>
          <w:sz w:val="32"/>
          <w:szCs w:val="32"/>
        </w:rPr>
        <w:t>валіфікаційн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ої</w:t>
      </w:r>
      <w:r w:rsidRPr="00BF19B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магістерськ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ої</w:t>
      </w:r>
      <w:r w:rsidRPr="00BF19B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робот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и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CA4EA33" w14:textId="1DAA33ED" w:rsidR="00D66C26" w:rsidRPr="00D66C26" w:rsidRDefault="0050282E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</w:t>
      </w:r>
      <w:r w:rsidR="00BF19BE">
        <w:rPr>
          <w:rFonts w:ascii="Times New Roman" w:eastAsia="Times New Roman" w:hAnsi="Times New Roman"/>
          <w:b/>
          <w:color w:val="000000"/>
          <w:sz w:val="32"/>
          <w:szCs w:val="32"/>
        </w:rPr>
        <w:t>виконується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П «Міжнародн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ий менеджмент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14:paraId="4DB975F3" w14:textId="77777777" w:rsidR="00D66C26" w:rsidRPr="00D66C26" w:rsidRDefault="00D66C26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</w:t>
      </w:r>
      <w:proofErr w:type="spellStart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</w:t>
      </w:r>
    </w:p>
    <w:p w14:paraId="41CCF7F9" w14:textId="5EEED9CC" w:rsidR="0050282E" w:rsidRDefault="00D66C26" w:rsidP="00D66C26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C024FB" w14:textId="245DFAE9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102981A7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1A0773">
        <w:rPr>
          <w:rFonts w:ascii="Times New Roman" w:eastAsia="Times New Roman" w:hAnsi="Times New Roman"/>
          <w:b/>
          <w:sz w:val="24"/>
          <w:szCs w:val="24"/>
        </w:rPr>
        <w:t>3</w:t>
      </w:r>
      <w:r w:rsidR="0050282E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272F766D" w14:textId="34EDA970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BCC2C" w14:textId="77777777" w:rsidR="00906728" w:rsidRDefault="00906728" w:rsidP="00B90FF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0672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Кваліфікаційна магістерська робота </w:t>
      </w:r>
    </w:p>
    <w:p w14:paraId="1ECBF920" w14:textId="6224B2D6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6D3949EF" w:rsidR="009B47B7" w:rsidRDefault="0090672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Кваліфікаційна магістерська робота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41D2EDB2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6A7D8715" w14:textId="4129416E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Грабинський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Ігор Михайлович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професор,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6CB417E1" w14:textId="41BD36ED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Писаренко Світлана Марківна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5404F81E" w14:textId="158E1E8F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Українець Лілія Анатоліївна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5DAF6798" w14:textId="14F50535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2D26241C" w14:textId="1F0A1B31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Ґерлах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2B44239C" w14:textId="226798C6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7016DE8D" w14:textId="7B63666B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Москалик Роман Ярославович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3864C0FB" w14:textId="10103E7D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0C4C3D78" w14:textId="6C767848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Пехник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0FAA98AF" w14:textId="2DE43451" w:rsid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1FA8F2" w14:textId="0FF58E74" w:rsidR="0020340A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Богударович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кафедри міжнародних економічних відносин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A83A5B3" w14:textId="77777777" w:rsidR="00FC1CBC" w:rsidRPr="00FC1CBC" w:rsidRDefault="00FB5320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</w:t>
            </w:r>
            <w:r w:rsidRPr="003A07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C1CBC" w:rsidRPr="00FC1CBC">
              <w:rPr>
                <w:rFonts w:ascii="Times New Roman" w:hAnsi="Times New Roman" w:cs="Times New Roman"/>
                <w:sz w:val="28"/>
                <w:szCs w:val="28"/>
              </w:rPr>
              <w:t>ihor.hrabynskyi@lnu.edu.ua</w:t>
            </w:r>
          </w:p>
          <w:p w14:paraId="5778A535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svitlana.pysarenko@lnu.edu.ua</w:t>
            </w:r>
          </w:p>
          <w:p w14:paraId="4A66D2A5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liliya.ukrayinets@lnu.edu.ua</w:t>
            </w:r>
          </w:p>
          <w:p w14:paraId="65ABEF76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hryhoriy.shamborovskyy@lnu.edu.ua</w:t>
            </w:r>
          </w:p>
          <w:p w14:paraId="100E74CF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iryna.yeleyko@lnu.edu.ua</w:t>
            </w:r>
          </w:p>
          <w:p w14:paraId="15A3F51B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nataliya.horin@lnu.edu.ua</w:t>
            </w:r>
          </w:p>
          <w:p w14:paraId="4DFEC05C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roman.moskalyk@lnu.edu.ua</w:t>
            </w:r>
          </w:p>
          <w:p w14:paraId="41266210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solomiya.ohinok@lnu.edu.ua</w:t>
            </w:r>
          </w:p>
          <w:p w14:paraId="788CD514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andriy.pekhnyk@lnu.edu.ua</w:t>
            </w:r>
          </w:p>
          <w:p w14:paraId="4DD7553A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iryna.prykhodko@lnu.edu.ua</w:t>
            </w:r>
          </w:p>
          <w:p w14:paraId="062B6E5B" w14:textId="58ED80BD" w:rsidR="00FB5320" w:rsidRPr="00D40993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yuriy.fedun@lnu.edu.ua</w:t>
            </w:r>
          </w:p>
          <w:p w14:paraId="3351C84C" w14:textId="4B353D8C" w:rsidR="0020340A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(032)239-47-81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D6DDF" w14:paraId="040BFA63" w14:textId="77777777" w:rsidTr="00FB59B4">
        <w:tc>
          <w:tcPr>
            <w:tcW w:w="4454" w:type="dxa"/>
          </w:tcPr>
          <w:p w14:paraId="08F5ED92" w14:textId="51D69953" w:rsidR="002D6DDF" w:rsidRPr="00B90FF8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Сторінка дисципліни</w:t>
            </w:r>
          </w:p>
        </w:tc>
        <w:tc>
          <w:tcPr>
            <w:tcW w:w="9822" w:type="dxa"/>
          </w:tcPr>
          <w:p w14:paraId="5DA7A905" w14:textId="21BE7689" w:rsidR="002D6DDF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2429CC82" w:rsidR="0020340A" w:rsidRPr="002D6DDF" w:rsidRDefault="00FC1CBC" w:rsidP="00FC1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Кваліфікаційна магістерська робота</w:t>
            </w:r>
            <w:r>
              <w:t xml:space="preserve"> </w:t>
            </w: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це форма атестації, що передбачається на завершальному етапі здобуття другого (магістерського) рівня вищої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49"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66C26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 xml:space="preserve">ОП Міжнародний менеджмент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виконується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третьому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семестрі в обсязі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(за Європейською Кредитно-Трансферною системою 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3DCD07B7" w:rsidR="00FB5320" w:rsidRPr="00D66C26" w:rsidRDefault="00FC1CBC" w:rsidP="00D66C26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314B0D">
              <w:rPr>
                <w:lang w:val="uk-UA"/>
              </w:rPr>
              <w:t xml:space="preserve">Кваліфікаційна </w:t>
            </w:r>
            <w:proofErr w:type="spellStart"/>
            <w:r w:rsidRPr="00314B0D">
              <w:rPr>
                <w:lang w:val="uk-UA"/>
              </w:rPr>
              <w:t>мігістерська</w:t>
            </w:r>
            <w:proofErr w:type="spellEnd"/>
            <w:r w:rsidRPr="00314B0D">
              <w:rPr>
                <w:lang w:val="uk-UA"/>
              </w:rPr>
              <w:t xml:space="preserve"> робота – це форма атестації, що передбачається на завершальному етапі здобуття другого (магістерського) рівня вищої освіти для встановлення відповідності набутих здобувачами результатів навчання (</w:t>
            </w:r>
            <w:proofErr w:type="spellStart"/>
            <w:r w:rsidRPr="00314B0D">
              <w:rPr>
                <w:lang w:val="uk-UA"/>
              </w:rPr>
              <w:t>компетентностей</w:t>
            </w:r>
            <w:proofErr w:type="spellEnd"/>
            <w:r w:rsidRPr="00314B0D">
              <w:rPr>
                <w:lang w:val="uk-UA"/>
              </w:rPr>
              <w:t xml:space="preserve">) вимогам стандартів вищої освіти та Національної рамки кваліфікацій. Виконання і захист кваліфікаційної роботи здобувачів вищої освіти другого (магістерського) рівня є завершальним етапом навчання й одним з основних видів атестації в ЛНУ імені Івана Франка, метою якої є встановлення відповідності засвоєних здобувачами вищої освіти рівня та обсягу знань, умінь, інших </w:t>
            </w:r>
            <w:proofErr w:type="spellStart"/>
            <w:r w:rsidRPr="00314B0D">
              <w:rPr>
                <w:lang w:val="uk-UA"/>
              </w:rPr>
              <w:t>компетентностей</w:t>
            </w:r>
            <w:proofErr w:type="spellEnd"/>
            <w:r w:rsidRPr="00314B0D">
              <w:rPr>
                <w:lang w:val="uk-UA"/>
              </w:rPr>
              <w:t xml:space="preserve"> вимогам стандартів вищої освіти та освітньо-професійних програм. Випускна кваліфікаційна робота здобувачів вищої освіти другого (магістерського) рівня – це самостійне та завершене наукове дослідження, у якому формулюються й обґрунтовуються наукові положення з елементами новітніх знань (наукової новизни), що характеризують внутрішню єдність одержаних результатів, зроблених висновків і розроблених рекомендацій, які висуваються до практичного впровадження та публічного захисту і свідчать про можливість виконувати конкретні науково-теоретичні та прикладні завдання з врахуванням специфіки різних галузей науки та сфер професійної діяльності за профілем підготовки здобувача освітнього ступеня «магістр».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63EBC8B1" w:rsidR="0020340A" w:rsidRPr="00D40993" w:rsidRDefault="00FC1CBC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B0D">
              <w:t xml:space="preserve">Метою виконання випускної кваліфікаційної роботи здобувачів вищої освіти другого (магістерського) рівня є систематизація, узагальнення, закріплення та розширення теоретичних знань, їхнє ефективне застосування для виконання науково-прикладного завдання шляхом поглибленого опанування обраної теми та методів самостійного дослідження, демонстрації вмінь логічно-послідовного викладу дослідницького матеріалу, а також навичок практичного застосування теоретичних знань для виконання завдань </w:t>
            </w:r>
            <w:r w:rsidRPr="00314B0D">
              <w:lastRenderedPageBreak/>
              <w:t>відповідно до вимог освітньо</w:t>
            </w:r>
            <w:r>
              <w:t>ї</w:t>
            </w:r>
            <w:r w:rsidRPr="00314B0D">
              <w:t xml:space="preserve"> програми</w:t>
            </w:r>
            <w:r>
              <w:t xml:space="preserve"> «Міжнародний менеджмент»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9822" w:type="dxa"/>
          </w:tcPr>
          <w:p w14:paraId="35FD768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Базова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5F5A5D6B" w14:textId="18DD120B" w:rsidR="00FC1CBC" w:rsidRDefault="00FC1CBC" w:rsidP="00FC1CB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1. </w:t>
            </w:r>
            <w:proofErr w:type="spellStart"/>
            <w:r w:rsidRPr="00FC1CBC">
              <w:rPr>
                <w:sz w:val="23"/>
                <w:szCs w:val="23"/>
              </w:rPr>
              <w:t>Ігор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Грабинський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Бакалаврські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маґістерські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роботи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Методичні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рекомендації</w:t>
            </w:r>
            <w:proofErr w:type="spellEnd"/>
            <w:r w:rsidRPr="00FC1CBC">
              <w:rPr>
                <w:sz w:val="23"/>
                <w:szCs w:val="23"/>
              </w:rPr>
              <w:t xml:space="preserve"> до </w:t>
            </w:r>
            <w:proofErr w:type="spellStart"/>
            <w:r w:rsidRPr="00FC1CBC">
              <w:rPr>
                <w:sz w:val="23"/>
                <w:szCs w:val="23"/>
              </w:rPr>
              <w:t>написання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основні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вимоги</w:t>
            </w:r>
            <w:proofErr w:type="spellEnd"/>
            <w:r w:rsidRPr="00FC1CBC">
              <w:rPr>
                <w:sz w:val="23"/>
                <w:szCs w:val="23"/>
              </w:rPr>
              <w:t xml:space="preserve"> до </w:t>
            </w:r>
            <w:proofErr w:type="spellStart"/>
            <w:r w:rsidRPr="00FC1CBC">
              <w:rPr>
                <w:sz w:val="23"/>
                <w:szCs w:val="23"/>
              </w:rPr>
              <w:t>оформлення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курсових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бакалаврських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дипломних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маґістерських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робіт</w:t>
            </w:r>
            <w:proofErr w:type="spellEnd"/>
            <w:r w:rsidRPr="00FC1CBC">
              <w:rPr>
                <w:sz w:val="23"/>
                <w:szCs w:val="23"/>
              </w:rPr>
              <w:t xml:space="preserve">. – Вид 4-те., доп. - </w:t>
            </w:r>
            <w:proofErr w:type="spellStart"/>
            <w:r w:rsidRPr="00FC1CBC">
              <w:rPr>
                <w:sz w:val="23"/>
                <w:szCs w:val="23"/>
              </w:rPr>
              <w:t>Львів</w:t>
            </w:r>
            <w:proofErr w:type="spellEnd"/>
            <w:r w:rsidRPr="00FC1CBC">
              <w:rPr>
                <w:sz w:val="23"/>
                <w:szCs w:val="23"/>
              </w:rPr>
              <w:t xml:space="preserve">: ЛНУ </w:t>
            </w:r>
            <w:proofErr w:type="spellStart"/>
            <w:r w:rsidRPr="00FC1CBC">
              <w:rPr>
                <w:sz w:val="23"/>
                <w:szCs w:val="23"/>
              </w:rPr>
              <w:t>ім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Івана</w:t>
            </w:r>
            <w:proofErr w:type="spellEnd"/>
            <w:r w:rsidRPr="00FC1CBC">
              <w:rPr>
                <w:sz w:val="23"/>
                <w:szCs w:val="23"/>
              </w:rPr>
              <w:t xml:space="preserve"> Франка, 2008. – 44 с.</w:t>
            </w:r>
            <w:r w:rsidRPr="00FC1CBC">
              <w:rPr>
                <w:sz w:val="23"/>
                <w:szCs w:val="23"/>
              </w:rPr>
              <w:t xml:space="preserve"> </w:t>
            </w:r>
          </w:p>
          <w:p w14:paraId="5297E416" w14:textId="3364CB20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2. </w:t>
            </w:r>
            <w:proofErr w:type="spellStart"/>
            <w:r w:rsidRPr="00FC1CBC">
              <w:rPr>
                <w:sz w:val="23"/>
                <w:szCs w:val="23"/>
              </w:rPr>
              <w:t>Гуторов</w:t>
            </w:r>
            <w:proofErr w:type="spellEnd"/>
            <w:r w:rsidRPr="00FC1CBC">
              <w:rPr>
                <w:sz w:val="23"/>
                <w:szCs w:val="23"/>
              </w:rPr>
              <w:t xml:space="preserve"> О. І. </w:t>
            </w:r>
            <w:proofErr w:type="spellStart"/>
            <w:r w:rsidRPr="00FC1CBC">
              <w:rPr>
                <w:sz w:val="23"/>
                <w:szCs w:val="23"/>
              </w:rPr>
              <w:t>Методологія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організація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наукових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C1CBC">
              <w:rPr>
                <w:sz w:val="23"/>
                <w:szCs w:val="23"/>
              </w:rPr>
              <w:t>досл</w:t>
            </w:r>
            <w:proofErr w:type="gramEnd"/>
            <w:r w:rsidRPr="00FC1CBC">
              <w:rPr>
                <w:sz w:val="23"/>
                <w:szCs w:val="23"/>
              </w:rPr>
              <w:t>іджень</w:t>
            </w:r>
            <w:proofErr w:type="spellEnd"/>
            <w:r w:rsidRPr="00FC1CBC">
              <w:rPr>
                <w:sz w:val="23"/>
                <w:szCs w:val="23"/>
              </w:rPr>
              <w:t xml:space="preserve"> : </w:t>
            </w:r>
            <w:proofErr w:type="spellStart"/>
            <w:r w:rsidRPr="00FC1CBC">
              <w:rPr>
                <w:sz w:val="23"/>
                <w:szCs w:val="23"/>
              </w:rPr>
              <w:t>навчальний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посібник</w:t>
            </w:r>
            <w:proofErr w:type="spellEnd"/>
            <w:r w:rsidRPr="00FC1CBC">
              <w:rPr>
                <w:sz w:val="23"/>
                <w:szCs w:val="23"/>
              </w:rPr>
              <w:t>.</w:t>
            </w:r>
          </w:p>
          <w:p w14:paraId="28160752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Харків</w:t>
            </w:r>
            <w:proofErr w:type="spellEnd"/>
            <w:r w:rsidRPr="00FC1CBC">
              <w:rPr>
                <w:sz w:val="23"/>
                <w:szCs w:val="23"/>
              </w:rPr>
              <w:t>: ХНАУ, 2017. 272 с.</w:t>
            </w:r>
          </w:p>
          <w:p w14:paraId="70239AC5" w14:textId="5E1F0BF9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3.</w:t>
            </w:r>
            <w:r w:rsidRPr="00FC1CBC">
              <w:rPr>
                <w:sz w:val="23"/>
                <w:szCs w:val="23"/>
              </w:rPr>
              <w:t xml:space="preserve"> ДСТУ 8302:2015. </w:t>
            </w:r>
            <w:proofErr w:type="spellStart"/>
            <w:r w:rsidRPr="00FC1CBC">
              <w:rPr>
                <w:sz w:val="23"/>
                <w:szCs w:val="23"/>
              </w:rPr>
              <w:t>Інформація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документація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Бібліографічне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посилання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Загальні</w:t>
            </w:r>
            <w:proofErr w:type="spellEnd"/>
          </w:p>
          <w:p w14:paraId="20F56A6F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положення</w:t>
            </w:r>
            <w:proofErr w:type="spellEnd"/>
            <w:r w:rsidRPr="00FC1CBC">
              <w:rPr>
                <w:sz w:val="23"/>
                <w:szCs w:val="23"/>
              </w:rPr>
              <w:t xml:space="preserve"> та правила </w:t>
            </w:r>
            <w:proofErr w:type="spellStart"/>
            <w:r w:rsidRPr="00FC1CBC">
              <w:rPr>
                <w:sz w:val="23"/>
                <w:szCs w:val="23"/>
              </w:rPr>
              <w:t>складання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Київ</w:t>
            </w:r>
            <w:proofErr w:type="spellEnd"/>
            <w:r w:rsidRPr="00FC1CBC">
              <w:rPr>
                <w:sz w:val="23"/>
                <w:szCs w:val="23"/>
              </w:rPr>
              <w:t>, 2016. 17 с.</w:t>
            </w:r>
          </w:p>
          <w:p w14:paraId="0893A8D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Допоміжна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1856FDDD" w14:textId="74B2FE4A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Основи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наукового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мовлення</w:t>
            </w:r>
            <w:proofErr w:type="spellEnd"/>
            <w:r w:rsidRPr="00FC1CBC">
              <w:rPr>
                <w:sz w:val="23"/>
                <w:szCs w:val="23"/>
              </w:rPr>
              <w:t xml:space="preserve">: </w:t>
            </w:r>
            <w:proofErr w:type="spellStart"/>
            <w:r w:rsidRPr="00FC1CBC">
              <w:rPr>
                <w:sz w:val="23"/>
                <w:szCs w:val="23"/>
              </w:rPr>
              <w:t>навч</w:t>
            </w:r>
            <w:proofErr w:type="spellEnd"/>
            <w:proofErr w:type="gramStart"/>
            <w:r w:rsidRPr="00FC1CBC">
              <w:rPr>
                <w:sz w:val="23"/>
                <w:szCs w:val="23"/>
              </w:rPr>
              <w:t>.-</w:t>
            </w:r>
            <w:proofErr w:type="gramEnd"/>
            <w:r w:rsidRPr="00FC1CBC">
              <w:rPr>
                <w:sz w:val="23"/>
                <w:szCs w:val="23"/>
              </w:rPr>
              <w:t xml:space="preserve">метод. </w:t>
            </w:r>
            <w:proofErr w:type="spellStart"/>
            <w:r w:rsidRPr="00FC1CBC">
              <w:rPr>
                <w:sz w:val="23"/>
                <w:szCs w:val="23"/>
              </w:rPr>
              <w:t>посіб</w:t>
            </w:r>
            <w:proofErr w:type="spellEnd"/>
            <w:r w:rsidRPr="00FC1CBC">
              <w:rPr>
                <w:sz w:val="23"/>
                <w:szCs w:val="23"/>
              </w:rPr>
              <w:t xml:space="preserve">. / уклад. : О. А. Бобер, С. А. </w:t>
            </w:r>
            <w:proofErr w:type="spellStart"/>
            <w:r w:rsidRPr="00FC1CBC">
              <w:rPr>
                <w:sz w:val="23"/>
                <w:szCs w:val="23"/>
              </w:rPr>
              <w:t>Бронікова</w:t>
            </w:r>
            <w:proofErr w:type="spellEnd"/>
            <w:r w:rsidRPr="00FC1CBC">
              <w:rPr>
                <w:sz w:val="23"/>
                <w:szCs w:val="23"/>
              </w:rPr>
              <w:t>, Т.</w:t>
            </w:r>
          </w:p>
          <w:p w14:paraId="5C55D6EF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 w:rsidRPr="00FC1CBC">
              <w:rPr>
                <w:sz w:val="23"/>
                <w:szCs w:val="23"/>
              </w:rPr>
              <w:t xml:space="preserve">Д. </w:t>
            </w:r>
            <w:proofErr w:type="spellStart"/>
            <w:r w:rsidRPr="00FC1CBC">
              <w:rPr>
                <w:sz w:val="23"/>
                <w:szCs w:val="23"/>
              </w:rPr>
              <w:t>Єгорова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ін</w:t>
            </w:r>
            <w:proofErr w:type="spellEnd"/>
            <w:r w:rsidRPr="00FC1CBC">
              <w:rPr>
                <w:sz w:val="23"/>
                <w:szCs w:val="23"/>
              </w:rPr>
              <w:t xml:space="preserve">.; за ред. І. М. </w:t>
            </w:r>
            <w:proofErr w:type="spellStart"/>
            <w:r w:rsidRPr="00FC1CBC">
              <w:rPr>
                <w:sz w:val="23"/>
                <w:szCs w:val="23"/>
              </w:rPr>
              <w:t>Плотницької</w:t>
            </w:r>
            <w:proofErr w:type="spellEnd"/>
            <w:r w:rsidRPr="00FC1CBC">
              <w:rPr>
                <w:sz w:val="23"/>
                <w:szCs w:val="23"/>
              </w:rPr>
              <w:t xml:space="preserve">, Р. І. </w:t>
            </w:r>
            <w:proofErr w:type="spellStart"/>
            <w:r w:rsidRPr="00FC1CBC">
              <w:rPr>
                <w:sz w:val="23"/>
                <w:szCs w:val="23"/>
              </w:rPr>
              <w:t>Ленди</w:t>
            </w:r>
            <w:proofErr w:type="spellEnd"/>
            <w:r w:rsidRPr="00FC1CBC">
              <w:rPr>
                <w:sz w:val="23"/>
                <w:szCs w:val="23"/>
              </w:rPr>
              <w:t>. К.</w:t>
            </w:r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  <w:r w:rsidRPr="00FC1CBC">
              <w:rPr>
                <w:sz w:val="23"/>
                <w:szCs w:val="23"/>
              </w:rPr>
              <w:t xml:space="preserve"> НАДУ, 2012. 48 с.</w:t>
            </w:r>
          </w:p>
          <w:p w14:paraId="64236BE2" w14:textId="4A5EB3CC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Bailey</w:t>
            </w:r>
            <w:proofErr w:type="spellEnd"/>
            <w:r w:rsidRPr="00FC1CBC">
              <w:rPr>
                <w:sz w:val="23"/>
                <w:szCs w:val="23"/>
              </w:rPr>
              <w:t xml:space="preserve">, S. </w:t>
            </w:r>
            <w:proofErr w:type="spellStart"/>
            <w:r w:rsidRPr="00FC1CBC">
              <w:rPr>
                <w:sz w:val="23"/>
                <w:szCs w:val="23"/>
              </w:rPr>
              <w:t>Academic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writing</w:t>
            </w:r>
            <w:proofErr w:type="spellEnd"/>
            <w:r w:rsidRPr="00FC1CBC">
              <w:rPr>
                <w:sz w:val="23"/>
                <w:szCs w:val="23"/>
              </w:rPr>
              <w:t xml:space="preserve">: a </w:t>
            </w:r>
            <w:proofErr w:type="spellStart"/>
            <w:r w:rsidRPr="00FC1CBC">
              <w:rPr>
                <w:sz w:val="23"/>
                <w:szCs w:val="23"/>
              </w:rPr>
              <w:t>handbook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for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international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students</w:t>
            </w:r>
            <w:proofErr w:type="spellEnd"/>
            <w:r w:rsidRPr="00FC1CBC">
              <w:rPr>
                <w:sz w:val="23"/>
                <w:szCs w:val="23"/>
              </w:rPr>
              <w:t xml:space="preserve">. 3rd </w:t>
            </w:r>
            <w:proofErr w:type="spellStart"/>
            <w:r w:rsidRPr="00FC1CBC">
              <w:rPr>
                <w:sz w:val="23"/>
                <w:szCs w:val="23"/>
              </w:rPr>
              <w:t>ed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London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New-York</w:t>
            </w:r>
            <w:proofErr w:type="spellEnd"/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</w:p>
          <w:p w14:paraId="3DEEADDE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Routledge</w:t>
            </w:r>
            <w:proofErr w:type="spellEnd"/>
            <w:r w:rsidRPr="00FC1CBC">
              <w:rPr>
                <w:sz w:val="23"/>
                <w:szCs w:val="23"/>
              </w:rPr>
              <w:t>, 2011. 314 p.</w:t>
            </w:r>
          </w:p>
          <w:p w14:paraId="089105A7" w14:textId="4A1AE644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Tonette</w:t>
            </w:r>
            <w:proofErr w:type="spellEnd"/>
            <w:r w:rsidRPr="00FC1CBC">
              <w:rPr>
                <w:sz w:val="23"/>
                <w:szCs w:val="23"/>
              </w:rPr>
              <w:t xml:space="preserve"> S </w:t>
            </w:r>
            <w:proofErr w:type="spellStart"/>
            <w:r w:rsidRPr="00FC1CBC">
              <w:rPr>
                <w:sz w:val="23"/>
                <w:szCs w:val="23"/>
              </w:rPr>
              <w:t>Rocco</w:t>
            </w:r>
            <w:proofErr w:type="spellEnd"/>
            <w:r w:rsidRPr="00FC1CBC">
              <w:rPr>
                <w:sz w:val="23"/>
                <w:szCs w:val="23"/>
              </w:rPr>
              <w:t xml:space="preserve">; </w:t>
            </w:r>
            <w:proofErr w:type="spellStart"/>
            <w:r w:rsidRPr="00FC1CBC">
              <w:rPr>
                <w:sz w:val="23"/>
                <w:szCs w:val="23"/>
              </w:rPr>
              <w:t>Timothy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Gary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Hatcher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The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Handbook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of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scholarly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writing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and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publishing.San</w:t>
            </w:r>
            <w:proofErr w:type="spellEnd"/>
          </w:p>
          <w:p w14:paraId="3E928FA4" w14:textId="77777777" w:rsid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Francisco</w:t>
            </w:r>
            <w:proofErr w:type="spellEnd"/>
            <w:r w:rsidRPr="00FC1CBC">
              <w:rPr>
                <w:sz w:val="23"/>
                <w:szCs w:val="23"/>
              </w:rPr>
              <w:t>, CA</w:t>
            </w:r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Jossey-Bass</w:t>
            </w:r>
            <w:proofErr w:type="spellEnd"/>
            <w:r w:rsidRPr="00FC1CBC">
              <w:rPr>
                <w:sz w:val="23"/>
                <w:szCs w:val="23"/>
              </w:rPr>
              <w:t>, 2011.</w:t>
            </w:r>
          </w:p>
          <w:p w14:paraId="53816666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64243C7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Інформаційні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ресурси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13890B2C" w14:textId="506F2CEF" w:rsidR="00D66C26" w:rsidRDefault="00D66C26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FC1CBC">
              <w:rPr>
                <w:sz w:val="23"/>
                <w:szCs w:val="23"/>
                <w:lang w:val="uk-UA"/>
              </w:rPr>
              <w:t xml:space="preserve">Оформлення списку джерел - </w:t>
            </w:r>
            <w:r w:rsidR="00FC1CBC" w:rsidRPr="00FC1CBC">
              <w:rPr>
                <w:sz w:val="23"/>
                <w:szCs w:val="23"/>
                <w:lang w:val="uk-UA"/>
              </w:rPr>
              <w:t>https://intrel.lnu.edu.ua/wp-content/uploads/2014/11/Pryklady-oformlennia-bibliohrafichnoho-opysu-u-spysku-vykorystanykh-dzherel.docx</w:t>
            </w:r>
            <w:r>
              <w:rPr>
                <w:sz w:val="23"/>
                <w:szCs w:val="23"/>
              </w:rPr>
              <w:t xml:space="preserve">/ </w:t>
            </w:r>
          </w:p>
          <w:p w14:paraId="5D2FD9D8" w14:textId="40972709" w:rsidR="00BD14D0" w:rsidRPr="00BD14D0" w:rsidRDefault="00BD14D0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9822" w:type="dxa"/>
          </w:tcPr>
          <w:p w14:paraId="03F04174" w14:textId="393475C8" w:rsidR="0020340A" w:rsidRPr="00DD7D8E" w:rsidRDefault="007B0A11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7E3AA512" w:rsidR="00145F6B" w:rsidRPr="00DD7D8E" w:rsidRDefault="006C7CBC" w:rsidP="002D6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FC1CBC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52DE2EE8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  <w:p w14:paraId="781C52E0" w14:textId="48D009A0" w:rsidR="00FC1CBC" w:rsidRPr="00FC1CBC" w:rsidRDefault="00D66C26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спілкуватися іноземною мовою.</w:t>
            </w:r>
          </w:p>
          <w:p w14:paraId="71A44ACA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вчитися і оволодівати сучасними знаннями</w:t>
            </w:r>
          </w:p>
          <w:p w14:paraId="46D62B7B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пошуку, оброблення та аналізу інформації з різних джерел</w:t>
            </w:r>
          </w:p>
          <w:p w14:paraId="6C6DC1D4" w14:textId="77777777" w:rsid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проведення досліджень на відповідному рівні</w:t>
            </w:r>
          </w:p>
          <w:p w14:paraId="2A17D78C" w14:textId="49B1E5F7" w:rsidR="00D66C26" w:rsidRPr="00D66C26" w:rsidRDefault="00D66C26" w:rsidP="00FC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  <w:p w14:paraId="081F636C" w14:textId="44A61DFA" w:rsidR="00FC1CBC" w:rsidRPr="00FC1CBC" w:rsidRDefault="00D66C26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1CBC">
              <w:t xml:space="preserve"> </w:t>
            </w:r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>світогосподарській</w:t>
            </w:r>
            <w:proofErr w:type="spellEnd"/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системі.</w:t>
            </w:r>
          </w:p>
          <w:p w14:paraId="3735DDC2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14:paraId="288925CF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оцінювати масштаби діяльності глобальних фірм та їхні позиції на світових ринках.</w:t>
            </w:r>
          </w:p>
          <w:p w14:paraId="307C30DF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14:paraId="276B971B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14:paraId="6590B435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Здатність аналізувати й оцінювати </w:t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геоекономічні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країн з позиції національних економічних інтересів.</w:t>
            </w:r>
          </w:p>
          <w:p w14:paraId="7B5E4771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прогнозувати тенденції розвитку міжнародних ринків з урахуванням кон’юнктурних змін.</w:t>
            </w:r>
          </w:p>
          <w:p w14:paraId="6AE7B35B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55D8AD42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організації і планування міжнародної економічної діяльності</w:t>
            </w:r>
          </w:p>
          <w:p w14:paraId="5F0A1F8B" w14:textId="747B98E9" w:rsidR="00D66C26" w:rsidRPr="00D66C26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здійснювати переклад з іноземних мов на професійному та соціальному рівнях, включаючи усну та письмову комунікацію.</w:t>
            </w:r>
          </w:p>
          <w:p w14:paraId="2269068B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14:paraId="249EB914" w14:textId="563F0595" w:rsidR="00FC1CBC" w:rsidRPr="00FC1CBC" w:rsidRDefault="00D66C26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C1CBC"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 </w:t>
            </w:r>
          </w:p>
          <w:p w14:paraId="782EEEDB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3B8E4969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5CA312BD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Оцінювати ступінь складності завдань при плануванні діяльності та опрацюванні її 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результатів. </w:t>
            </w:r>
          </w:p>
          <w:p w14:paraId="7712D571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світогосподарських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відносин. </w:t>
            </w:r>
          </w:p>
          <w:p w14:paraId="289348C3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14:paraId="355B2C4B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14:paraId="05BF0FB8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14:paraId="0DCAAA7D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Визначати </w:t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геоекономічні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безпекової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 </w:t>
            </w:r>
          </w:p>
          <w:p w14:paraId="32FB2A12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продукованих</w:t>
            </w:r>
            <w:proofErr w:type="spellEnd"/>
            <w:r w:rsidRPr="00FC1CBC">
              <w:rPr>
                <w:rFonts w:ascii="Times New Roman" w:hAnsi="Times New Roman" w:cs="Times New Roman"/>
                <w:sz w:val="24"/>
                <w:szCs w:val="24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14:paraId="6889B1E7" w14:textId="77777777" w:rsidR="00FC1CBC" w:rsidRPr="00FC1CBC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Презентувати результати власних досліджень шляхом підготовки наукових публікацій і апробацій на наукових заходах. </w:t>
            </w:r>
          </w:p>
          <w:p w14:paraId="7DA5FCE6" w14:textId="057AE20F" w:rsidR="00D66C26" w:rsidRPr="00D66C26" w:rsidRDefault="00FC1CBC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CBC">
              <w:rPr>
                <w:rFonts w:ascii="Times New Roman" w:hAnsi="Times New Roman" w:cs="Times New Roman"/>
                <w:sz w:val="24"/>
                <w:szCs w:val="24"/>
              </w:rPr>
              <w:tab/>
              <w:t>Здійснювати усний та письмовий переклад з іноземної мови/іноземних мов на професійному та соціальному рівнях</w:t>
            </w:r>
          </w:p>
          <w:p w14:paraId="7BFF0034" w14:textId="653FC3DC" w:rsidR="00145F6B" w:rsidRPr="00D66C26" w:rsidRDefault="00145F6B" w:rsidP="00D66C26">
            <w:pPr>
              <w:pStyle w:val="Default"/>
              <w:ind w:left="720"/>
            </w:pPr>
          </w:p>
        </w:tc>
      </w:tr>
      <w:tr w:rsidR="002D6DDF" w14:paraId="36C0A7CF" w14:textId="77777777" w:rsidTr="00FB59B4">
        <w:tc>
          <w:tcPr>
            <w:tcW w:w="4454" w:type="dxa"/>
          </w:tcPr>
          <w:p w14:paraId="6A88B8B2" w14:textId="4BA9D5B4" w:rsidR="002D6DDF" w:rsidRPr="00F0246D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14:paraId="1A2273C9" w14:textId="11B6D784" w:rsidR="002D6DDF" w:rsidRPr="002D6DDF" w:rsidRDefault="00FC1CBC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робота, кваліфікаційна робота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45E1E667" w:rsidR="0020340A" w:rsidRPr="00AA34E5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14:paraId="23F20DE6" w14:textId="42B897ED" w:rsidR="0020340A" w:rsidRPr="002D6DDF" w:rsidRDefault="002D6DDF" w:rsidP="002D6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F">
              <w:rPr>
                <w:rFonts w:ascii="Times New Roman" w:hAnsi="Times New Roman" w:cs="Times New Roman"/>
                <w:sz w:val="28"/>
                <w:szCs w:val="28"/>
              </w:rPr>
              <w:t>Див. Схему курсу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7AE5CF34" w:rsidR="0020340A" w:rsidRDefault="006C7CBC" w:rsidP="006C7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на відкритому засідання екзаменаційної комісії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Пререквізити</w:t>
            </w:r>
            <w:proofErr w:type="spellEnd"/>
          </w:p>
        </w:tc>
        <w:tc>
          <w:tcPr>
            <w:tcW w:w="9822" w:type="dxa"/>
          </w:tcPr>
          <w:p w14:paraId="3E839893" w14:textId="331F3363" w:rsidR="0020340A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  <w:p w14:paraId="0D41C02C" w14:textId="2E760205" w:rsid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  <w:p w14:paraId="45641AE3" w14:textId="77777777" w:rsidR="006C7CBC" w:rsidRP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</w:p>
          <w:p w14:paraId="2C686164" w14:textId="77777777" w:rsidR="006C7CBC" w:rsidRP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Виробнича (переддипломна) практика</w:t>
            </w:r>
          </w:p>
          <w:p w14:paraId="2EB7059E" w14:textId="77777777" w:rsidR="006C7CBC" w:rsidRP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Глобальне підприємництво</w:t>
            </w:r>
          </w:p>
          <w:p w14:paraId="00384FD7" w14:textId="3E5F51B8" w:rsid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Крос-культурний менеджмент</w:t>
            </w:r>
          </w:p>
          <w:p w14:paraId="60A37235" w14:textId="02A5C461" w:rsidR="006C7CBC" w:rsidRDefault="006C7CBC" w:rsidP="006C7CBC">
            <w:pPr>
              <w:pStyle w:val="a5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Проектний менеджмент в МО</w:t>
            </w:r>
          </w:p>
        </w:tc>
      </w:tr>
      <w:tr w:rsidR="002D6DDF" w14:paraId="6223ECFC" w14:textId="77777777" w:rsidTr="00FB59B4">
        <w:tc>
          <w:tcPr>
            <w:tcW w:w="4454" w:type="dxa"/>
          </w:tcPr>
          <w:p w14:paraId="2CCA5A0F" w14:textId="0B5B8C4D" w:rsidR="002D6DDF" w:rsidRPr="00CD737B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</w:t>
            </w:r>
            <w:r w:rsidR="0042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техніки, які будуть використовуватись під час викладання курсу</w:t>
            </w:r>
          </w:p>
        </w:tc>
        <w:tc>
          <w:tcPr>
            <w:tcW w:w="9822" w:type="dxa"/>
          </w:tcPr>
          <w:p w14:paraId="4C67BAF4" w14:textId="19728951" w:rsidR="00421A9B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з науковим керівником  та керівником з кафедри іноземних мов,</w:t>
            </w:r>
          </w:p>
          <w:p w14:paraId="427C0CF7" w14:textId="513C014B" w:rsidR="006C7CBC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  <w:p w14:paraId="060A864C" w14:textId="76A4D14D" w:rsidR="006C7CBC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Наукове дослідження</w:t>
            </w:r>
          </w:p>
          <w:p w14:paraId="69EDC824" w14:textId="647619CE" w:rsidR="006C7CBC" w:rsidRPr="00D66C26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захисті: презентація</w:t>
            </w:r>
          </w:p>
        </w:tc>
      </w:tr>
      <w:tr w:rsidR="00421A9B" w14:paraId="1BEB1D7B" w14:textId="77777777" w:rsidTr="00FB59B4">
        <w:tc>
          <w:tcPr>
            <w:tcW w:w="4454" w:type="dxa"/>
          </w:tcPr>
          <w:p w14:paraId="5D293E28" w14:textId="5CCEC23D" w:rsidR="00421A9B" w:rsidRDefault="00421A9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9822" w:type="dxa"/>
          </w:tcPr>
          <w:p w14:paraId="2594342C" w14:textId="4D521527" w:rsidR="00421A9B" w:rsidRPr="00421A9B" w:rsidRDefault="00421A9B" w:rsidP="00421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2019р., ноутбук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– 2019р., настінна дошка</w:t>
            </w:r>
          </w:p>
          <w:p w14:paraId="12427E11" w14:textId="0F672037" w:rsidR="00421A9B" w:rsidRDefault="00421A9B" w:rsidP="00421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Smartbox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600, проекційний екран;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®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IntelCore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I3 (14 шт.),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операційні системи: Windows 10.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2ED8118D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4767D641" w14:textId="49BF18B7" w:rsidR="006C7CBC" w:rsidRPr="006C7CBC" w:rsidRDefault="006C7CBC" w:rsidP="006C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Екзаменаційна комісія під час закритого засідання оцінює кожну кваліфікаційну роботу.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Оцінювання рівня якості підготовки здобувача та здобутої ним вищої освіти здійснюють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члени екзаменаційної комісії на основі принципів об’єктивності, індивідуальності,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комплексності, етичності, диференційованого та </w:t>
            </w:r>
            <w:proofErr w:type="spellStart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підходу, за критеріями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набутих загальних і професійних </w:t>
            </w:r>
            <w:proofErr w:type="spellStart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і шкалою оцінювання,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застосовуючи форми і методи діагностики.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Об'єктом оцінювання є сукупність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знань, умінь і навичок, набутих </w:t>
            </w:r>
            <w:proofErr w:type="spellStart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відтворених у процесі виконання й захисту кваліфікаційної роботи.</w:t>
            </w:r>
          </w:p>
          <w:p w14:paraId="657BF108" w14:textId="77777777" w:rsidR="006C7CBC" w:rsidRDefault="006C7CBC" w:rsidP="006C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У процесі визначення оцінки враховується ряд важливих показників якості магістерської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роботи: актуальність обраної теми; чіткість формулювання мети та завдань дослідження;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структура і логіка побудови змісту дипломної роботи; наукова новизна та практична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значущість роботи; якість і глибина теоретичного, методологічного та практичного аналізу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проблематики дослідження; наявність критичного огляду літературних джерел та наукової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полеміки; актуальність і обґрунтованість запропонованих рішень; дотримання вимог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оформлення роботи; наявність та інформаційна змістовність ілюстративних матеріалів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захисту роботи; змістовність повідомлення про основні результати дослідження;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правильність та чіткість відповідей на запитання членів ЕК; зауваження і пропозиції,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містяться у зовнішній рецензії та у відгуку наукового керівника; наявність публікацій та 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якісний рівень. </w:t>
            </w:r>
          </w:p>
          <w:p w14:paraId="59DAB568" w14:textId="69E89743" w:rsidR="00421A9B" w:rsidRDefault="006C7CBC" w:rsidP="006C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Кваліфікаційна робота з ознаками плагіату за рішенням екзаменаційної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комісії не розглядається, виставляється незадовільна оцінка. Оцінюючи кваліфікаційну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роботу, екзаменаційна комісія враховує наукову новизну, практичну значущість,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відповідність оформлення встановленим вимогам, уміння представити сформульовані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положення та висновки на засіданні ЕК</w:t>
            </w:r>
            <w:r w:rsidRPr="006C7CBC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421A9B"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 w:rsidR="00421A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Очікується, що роботи студентів будуть їх оригінальними</w:t>
            </w:r>
            <w:r w:rsid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</w:t>
            </w:r>
            <w:r w:rsidR="00421A9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</w:t>
            </w:r>
            <w:proofErr w:type="spellStart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ознак академічної</w:t>
            </w:r>
            <w:r w:rsid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 </w:t>
            </w:r>
          </w:p>
          <w:p w14:paraId="46C37047" w14:textId="3753AAE6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Уся література, яку студенти не зможуть знайти самостійно, буде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04C1C95" w14:textId="3EED3E16" w:rsidR="006C7CBC" w:rsidRDefault="00421A9B" w:rsidP="006C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виставлення балів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Рішення щодо підсумкової оцінки приймається більшістю голосів членів ЕК за результатами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публічного захисту з урахуванням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висновків наукового керівника, </w:t>
            </w:r>
            <w:proofErr w:type="spellStart"/>
            <w:r w:rsidR="006C7CB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з кафедри іноземних мов та рецензента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. Якщо підсумкова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оцінка захисту кваліфікаційної роботи є меншою 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виставляється оцінка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«незадовільно». Оцінка керівник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роботи виставляється у його відгуку.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Оцінка рецензента – у письмовій рецензії на роботу.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випадках, коли захист кваліфікаційної роботи визнано незадовільним, ЕК вирішує, чи може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студент подати повторно ту ж роботу після доопрацювання й усунення недоліків чи йому</w:t>
            </w:r>
            <w:r w:rsidR="006C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BC" w:rsidRPr="006C7CBC">
              <w:rPr>
                <w:rFonts w:ascii="Times New Roman" w:hAnsi="Times New Roman" w:cs="Times New Roman"/>
                <w:sz w:val="28"/>
                <w:szCs w:val="28"/>
              </w:rPr>
              <w:t>необхідно опрацювати іншу тему.</w:t>
            </w:r>
          </w:p>
          <w:p w14:paraId="52B737C0" w14:textId="4A988491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43FEC" w14:textId="59E29711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5397B3F9" w:rsidR="0020340A" w:rsidRPr="00482ED7" w:rsidRDefault="006C7CB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 магістерських досліджень 2023</w:t>
            </w:r>
          </w:p>
        </w:tc>
        <w:tc>
          <w:tcPr>
            <w:tcW w:w="9822" w:type="dxa"/>
          </w:tcPr>
          <w:p w14:paraId="21152639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Корпоративна соціальна відповідальність як складова стратегії розвитку міжнародного бізнесу  </w:t>
            </w:r>
          </w:p>
          <w:p w14:paraId="43681613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Екологічна політика міжнародних корпорацій</w:t>
            </w:r>
          </w:p>
          <w:p w14:paraId="0B23A7AE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Формування маркетингових стратегій українських підприємств в умовах виходу на глобалізовані ринки</w:t>
            </w:r>
          </w:p>
          <w:p w14:paraId="71E46A57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Управління інноваціями в контексті глобальної цифрової трансформації</w:t>
            </w:r>
          </w:p>
          <w:p w14:paraId="62D08B48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Формування культури інновацій в міжнародних компаніях</w:t>
            </w:r>
          </w:p>
          <w:p w14:paraId="757C36C6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Вплив міграції висококваліфікованих працівників на конкурентоспроможність та економічне зростання країни</w:t>
            </w:r>
          </w:p>
          <w:p w14:paraId="394E402B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міжнародного </w:t>
            </w:r>
            <w:proofErr w:type="spellStart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проєктного</w:t>
            </w:r>
            <w:proofErr w:type="spellEnd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у галузі інформаційних технологій</w:t>
            </w:r>
          </w:p>
          <w:p w14:paraId="0A007D3A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Бренд-менеджмент в діяльності транснаціональних корпорацій   </w:t>
            </w:r>
          </w:p>
          <w:p w14:paraId="4FD0D81C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Кон’юнктурні аспекти </w:t>
            </w:r>
            <w:proofErr w:type="spellStart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релокації</w:t>
            </w:r>
            <w:proofErr w:type="spellEnd"/>
            <w:r w:rsidRPr="006C7CBC">
              <w:rPr>
                <w:rFonts w:ascii="Times New Roman" w:hAnsi="Times New Roman" w:cs="Times New Roman"/>
                <w:sz w:val="28"/>
                <w:szCs w:val="28"/>
              </w:rPr>
              <w:t xml:space="preserve"> бізнесу під час війни</w:t>
            </w:r>
          </w:p>
          <w:p w14:paraId="19FF934D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Економічна свобода і бізнес в країнах-членах ЄС</w:t>
            </w:r>
          </w:p>
          <w:p w14:paraId="7CC29E60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Вплив соціального менеджменту на міжнародний бізнес</w:t>
            </w:r>
          </w:p>
          <w:p w14:paraId="5142CBED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Міграційна політика ЄС в умовах військової агресії РФ проти України</w:t>
            </w:r>
          </w:p>
          <w:p w14:paraId="0A96111A" w14:textId="77777777" w:rsidR="006C7CBC" w:rsidRPr="006C7CBC" w:rsidRDefault="006C7CBC" w:rsidP="006C7CBC">
            <w:pPr>
              <w:pStyle w:val="a5"/>
              <w:numPr>
                <w:ilvl w:val="0"/>
                <w:numId w:val="39"/>
              </w:numPr>
              <w:ind w:left="649" w:hanging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6C7CBC">
              <w:rPr>
                <w:rFonts w:ascii="Times New Roman" w:hAnsi="Times New Roman" w:cs="Times New Roman"/>
                <w:sz w:val="28"/>
                <w:szCs w:val="28"/>
              </w:rPr>
              <w:t>Управління міграційними процесами в Польщі в умовах війни в Україні</w:t>
            </w:r>
          </w:p>
          <w:p w14:paraId="6129DBD5" w14:textId="77777777" w:rsidR="00D66C26" w:rsidRPr="00D66C26" w:rsidRDefault="00D66C26" w:rsidP="00D66C26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  <w:p w14:paraId="5E96AE83" w14:textId="5392C3DE" w:rsidR="00D47CF1" w:rsidRPr="00D66C26" w:rsidRDefault="00D47CF1" w:rsidP="00D66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C304D93" w14:textId="3CA37C0D" w:rsidR="0020340A" w:rsidRPr="00421A9B" w:rsidRDefault="00421A9B" w:rsidP="00421A9B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D02D" w14:textId="0C378567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  <w:bookmarkStart w:id="0" w:name="_GoBack"/>
      <w:bookmarkEnd w:id="0"/>
    </w:p>
    <w:p w14:paraId="5AE177FC" w14:textId="7F49543F" w:rsidR="008D4473" w:rsidRPr="008D4473" w:rsidRDefault="009028F8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12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4473">
        <w:rPr>
          <w:rFonts w:ascii="Times New Roman" w:hAnsi="Times New Roman"/>
          <w:b/>
          <w:bCs/>
          <w:sz w:val="28"/>
          <w:szCs w:val="28"/>
        </w:rPr>
        <w:t>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6C7CB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48FFCC5B" w:rsidR="00712B5D" w:rsidRDefault="006C7CB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422D8FC5" w:rsidR="00712B5D" w:rsidRDefault="006C7CB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68F13EB2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5396B24E" w:rsidR="00712B5D" w:rsidRDefault="006C7CB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57432B8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46EAE2E4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5E8A406C" w:rsidR="00712B5D" w:rsidRDefault="006C7CB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6E2" w14:textId="5302A9F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C4F" w14:textId="78D65EE0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8C81DD" w14:textId="1D93D078" w:rsidR="003B689C" w:rsidRDefault="003B689C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</w:t>
      </w:r>
      <w:r w:rsidR="00D14646">
        <w:rPr>
          <w:rFonts w:ascii="Times New Roman" w:hAnsi="Times New Roman"/>
          <w:b/>
          <w:bCs/>
          <w:sz w:val="28"/>
          <w:szCs w:val="28"/>
        </w:rPr>
        <w:t>підготовки і захисту кваліфікаційної магістерської роботи</w:t>
      </w:r>
    </w:p>
    <w:p w14:paraId="388370C2" w14:textId="77777777" w:rsidR="002E7FB7" w:rsidRDefault="002E7FB7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110"/>
        <w:gridCol w:w="5917"/>
        <w:gridCol w:w="3977"/>
      </w:tblGrid>
      <w:tr w:rsidR="006C7CBC" w:rsidRPr="00D14646" w14:paraId="0B70FE61" w14:textId="77777777" w:rsidTr="00D14646">
        <w:tc>
          <w:tcPr>
            <w:tcW w:w="0" w:type="auto"/>
          </w:tcPr>
          <w:p w14:paraId="7ABC289D" w14:textId="7F85BF7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F6F0EB7" w14:textId="69EBD55D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</w:t>
            </w:r>
          </w:p>
        </w:tc>
        <w:tc>
          <w:tcPr>
            <w:tcW w:w="0" w:type="auto"/>
          </w:tcPr>
          <w:p w14:paraId="029449BE" w14:textId="1AC943E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 підготовки</w:t>
            </w:r>
          </w:p>
        </w:tc>
        <w:tc>
          <w:tcPr>
            <w:tcW w:w="0" w:type="auto"/>
          </w:tcPr>
          <w:p w14:paraId="0DDDA789" w14:textId="58D1450E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Способи контролю</w:t>
            </w:r>
          </w:p>
        </w:tc>
      </w:tr>
      <w:tr w:rsidR="006C7CBC" w:rsidRPr="00D14646" w14:paraId="5F4BCF7C" w14:textId="77777777" w:rsidTr="00D14646">
        <w:tc>
          <w:tcPr>
            <w:tcW w:w="0" w:type="auto"/>
          </w:tcPr>
          <w:p w14:paraId="08DB7DEC" w14:textId="0FF460E6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77A806D" w14:textId="7641C28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Вибір та затвердження теми з </w:t>
            </w: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урахуванням актуальності, новизни, теоретичної значущості, предмету та об’єкту дослідження та інтересів здобувача</w:t>
            </w:r>
          </w:p>
        </w:tc>
        <w:tc>
          <w:tcPr>
            <w:tcW w:w="0" w:type="auto"/>
          </w:tcPr>
          <w:p w14:paraId="619DD08E" w14:textId="79E2A191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Окреслення мети, завдань.</w:t>
            </w:r>
          </w:p>
        </w:tc>
        <w:tc>
          <w:tcPr>
            <w:tcW w:w="0" w:type="auto"/>
          </w:tcPr>
          <w:p w14:paraId="7E56B432" w14:textId="4ACAE2B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Вибір та затвердження теми з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урахуванням актуальності, новизни, теоретичної значущості, предмету та об’єкту дослідження та інтересів здобувача</w:t>
            </w:r>
          </w:p>
        </w:tc>
      </w:tr>
      <w:tr w:rsidR="006C7CBC" w:rsidRPr="00D14646" w14:paraId="4CB488F9" w14:textId="77777777" w:rsidTr="00D14646">
        <w:tc>
          <w:tcPr>
            <w:tcW w:w="0" w:type="auto"/>
          </w:tcPr>
          <w:p w14:paraId="7A63A27B" w14:textId="03D67983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5B5D521A" w14:textId="20B80484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Добір і вивчення літературних джерел, нормативних документів</w:t>
            </w:r>
          </w:p>
        </w:tc>
        <w:tc>
          <w:tcPr>
            <w:tcW w:w="0" w:type="auto"/>
          </w:tcPr>
          <w:p w14:paraId="26238E3B" w14:textId="200E97EA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робочого списку джерел для висвітлення теми дослідження з урахуванням вітчизняного та зарубіжного </w:t>
            </w:r>
          </w:p>
        </w:tc>
        <w:tc>
          <w:tcPr>
            <w:tcW w:w="0" w:type="auto"/>
          </w:tcPr>
          <w:p w14:paraId="3D143EA8" w14:textId="6AE6BAFB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Добір і вивчення літературних джерел, нормативних документів</w:t>
            </w:r>
          </w:p>
        </w:tc>
      </w:tr>
      <w:tr w:rsidR="006C7CBC" w:rsidRPr="00D14646" w14:paraId="21C28C52" w14:textId="77777777" w:rsidTr="00D14646">
        <w:tc>
          <w:tcPr>
            <w:tcW w:w="0" w:type="auto"/>
          </w:tcPr>
          <w:p w14:paraId="44F79F69" w14:textId="56003649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AAB48A6" w14:textId="411BC2E4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плану написання роботи </w:t>
            </w:r>
          </w:p>
        </w:tc>
        <w:tc>
          <w:tcPr>
            <w:tcW w:w="0" w:type="auto"/>
          </w:tcPr>
          <w:p w14:paraId="480EE969" w14:textId="61107E24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Написання орієнтовного плану дослідження із зазначенням підрозділів і підпунктів</w:t>
            </w:r>
          </w:p>
        </w:tc>
        <w:tc>
          <w:tcPr>
            <w:tcW w:w="0" w:type="auto"/>
          </w:tcPr>
          <w:p w14:paraId="7F1D4A91" w14:textId="15D4EFD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Узгодження з науковим керівником</w:t>
            </w:r>
          </w:p>
        </w:tc>
      </w:tr>
      <w:tr w:rsidR="006C7CBC" w:rsidRPr="00D14646" w14:paraId="4B62AAFB" w14:textId="77777777" w:rsidTr="00D14646">
        <w:tc>
          <w:tcPr>
            <w:tcW w:w="0" w:type="auto"/>
          </w:tcPr>
          <w:p w14:paraId="3F8DF1FE" w14:textId="612F61FD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3896CB3" w14:textId="23F5E6AE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Збір, обробка та аналіз матеріалу відповідно до теми дослідження </w:t>
            </w:r>
          </w:p>
        </w:tc>
        <w:tc>
          <w:tcPr>
            <w:tcW w:w="0" w:type="auto"/>
          </w:tcPr>
          <w:p w14:paraId="0A1BD730" w14:textId="2B9F664C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Зібраний для написання роботи матеріал, що відповідає темі, предмету та об’єкту дослідження, меті та завданням</w:t>
            </w:r>
          </w:p>
        </w:tc>
        <w:tc>
          <w:tcPr>
            <w:tcW w:w="0" w:type="auto"/>
          </w:tcPr>
          <w:p w14:paraId="691AFCD7" w14:textId="0E6DCA5E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Збір, обробка та аналіз матеріалу відповідно до теми дослідження</w:t>
            </w:r>
          </w:p>
        </w:tc>
      </w:tr>
      <w:tr w:rsidR="006C7CBC" w:rsidRPr="00D14646" w14:paraId="15A35FC4" w14:textId="77777777" w:rsidTr="00D14646">
        <w:tc>
          <w:tcPr>
            <w:tcW w:w="0" w:type="auto"/>
          </w:tcPr>
          <w:p w14:paraId="23464816" w14:textId="71CF0E15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A4832DB" w14:textId="2DF5AB23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й оформлення випускної роботи за розділами </w:t>
            </w:r>
          </w:p>
        </w:tc>
        <w:tc>
          <w:tcPr>
            <w:tcW w:w="0" w:type="auto"/>
          </w:tcPr>
          <w:p w14:paraId="1ED3E49C" w14:textId="44B31BD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Розділ 1. Розділ 2. Розділ 3.</w:t>
            </w:r>
          </w:p>
        </w:tc>
        <w:tc>
          <w:tcPr>
            <w:tcW w:w="0" w:type="auto"/>
          </w:tcPr>
          <w:p w14:paraId="41F60179" w14:textId="49B890DF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та коригування науковим керівником</w:t>
            </w:r>
          </w:p>
        </w:tc>
      </w:tr>
      <w:tr w:rsidR="006C7CBC" w:rsidRPr="00D14646" w14:paraId="4E99482A" w14:textId="77777777" w:rsidTr="00D14646">
        <w:tc>
          <w:tcPr>
            <w:tcW w:w="0" w:type="auto"/>
          </w:tcPr>
          <w:p w14:paraId="379DAFC1" w14:textId="2F5C4067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76C58E1" w14:textId="471AC9B3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Написання реферату роботи іноземною мовою</w:t>
            </w:r>
          </w:p>
        </w:tc>
        <w:tc>
          <w:tcPr>
            <w:tcW w:w="0" w:type="auto"/>
          </w:tcPr>
          <w:p w14:paraId="529A7A71" w14:textId="36EA99B2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 іноземною мовою</w:t>
            </w:r>
          </w:p>
        </w:tc>
        <w:tc>
          <w:tcPr>
            <w:tcW w:w="0" w:type="auto"/>
          </w:tcPr>
          <w:p w14:paraId="0B581E91" w14:textId="4C173199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та коригування керівником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від кафедри іноземних мов</w:t>
            </w:r>
          </w:p>
        </w:tc>
      </w:tr>
      <w:tr w:rsidR="006C7CBC" w:rsidRPr="00D14646" w14:paraId="14B3B015" w14:textId="77777777" w:rsidTr="00D14646">
        <w:tc>
          <w:tcPr>
            <w:tcW w:w="0" w:type="auto"/>
          </w:tcPr>
          <w:p w14:paraId="69724288" w14:textId="011F842B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F6F3BFD" w14:textId="2C7C0C60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Корегування вступу, робота над висновками та пропозиціями</w:t>
            </w:r>
          </w:p>
        </w:tc>
        <w:tc>
          <w:tcPr>
            <w:tcW w:w="0" w:type="auto"/>
          </w:tcPr>
          <w:p w14:paraId="495D37EB" w14:textId="1A1A3752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Редагування вступу відповідно до результатів проведеного дослідження та отриманих результатів, використаних методів та методики дослідження, практичного значення та наукової новизни дослідження Формулювання та редагування висновків до структурних частин роботи і загальних висновків та пропозицій</w:t>
            </w:r>
          </w:p>
        </w:tc>
        <w:tc>
          <w:tcPr>
            <w:tcW w:w="0" w:type="auto"/>
          </w:tcPr>
          <w:p w14:paraId="18371880" w14:textId="1EB58EEC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Узгодження з науковим керівником</w:t>
            </w:r>
          </w:p>
        </w:tc>
      </w:tr>
      <w:tr w:rsidR="006C7CBC" w:rsidRPr="00D14646" w14:paraId="02C393FF" w14:textId="77777777" w:rsidTr="00D14646">
        <w:tc>
          <w:tcPr>
            <w:tcW w:w="0" w:type="auto"/>
          </w:tcPr>
          <w:p w14:paraId="7C7832D9" w14:textId="311E0372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A439F3A" w14:textId="7506FC0D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Упорядкування бібліографії та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уніфікація оформлення всіх складових випускної роботи</w:t>
            </w:r>
          </w:p>
        </w:tc>
        <w:tc>
          <w:tcPr>
            <w:tcW w:w="0" w:type="auto"/>
          </w:tcPr>
          <w:p w14:paraId="7F40393A" w14:textId="1AC6F9BD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Складання списку використаної літератури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відповідно до чинних стандартів. Оформлення бібліографічних посилань, перевірка дотримання всіх вимог, що висуваються до </w:t>
            </w:r>
          </w:p>
        </w:tc>
        <w:tc>
          <w:tcPr>
            <w:tcW w:w="0" w:type="auto"/>
          </w:tcPr>
          <w:p w14:paraId="5DE05902" w14:textId="5E677E0E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Перевірка науковим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керівником оформлення роботи</w:t>
            </w:r>
          </w:p>
        </w:tc>
      </w:tr>
      <w:tr w:rsidR="006C7CBC" w:rsidRPr="00D14646" w14:paraId="394C062D" w14:textId="77777777" w:rsidTr="00D14646">
        <w:tc>
          <w:tcPr>
            <w:tcW w:w="0" w:type="auto"/>
          </w:tcPr>
          <w:p w14:paraId="24115130" w14:textId="6776EB21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47647714" w14:textId="6A614CFD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на плагіат </w:t>
            </w:r>
          </w:p>
        </w:tc>
        <w:tc>
          <w:tcPr>
            <w:tcW w:w="0" w:type="auto"/>
          </w:tcPr>
          <w:p w14:paraId="74392689" w14:textId="31D386B7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текстової частини роботи на унікальність.</w:t>
            </w:r>
          </w:p>
        </w:tc>
        <w:tc>
          <w:tcPr>
            <w:tcW w:w="0" w:type="auto"/>
          </w:tcPr>
          <w:p w14:paraId="4F8841AA" w14:textId="1580B609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науковим керівником або відповідально ю особою</w:t>
            </w:r>
          </w:p>
        </w:tc>
      </w:tr>
      <w:tr w:rsidR="006C7CBC" w:rsidRPr="00D14646" w14:paraId="016353C8" w14:textId="77777777" w:rsidTr="00D14646">
        <w:tc>
          <w:tcPr>
            <w:tcW w:w="0" w:type="auto"/>
          </w:tcPr>
          <w:p w14:paraId="3495CA02" w14:textId="5827379A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1738A83" w14:textId="32DA1E1F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Попередній захист кваліфікаційної роботи </w:t>
            </w:r>
          </w:p>
        </w:tc>
        <w:tc>
          <w:tcPr>
            <w:tcW w:w="0" w:type="auto"/>
          </w:tcPr>
          <w:p w14:paraId="7895B0FB" w14:textId="74C2659F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Готова кваліфікаційна робота</w:t>
            </w:r>
          </w:p>
        </w:tc>
        <w:tc>
          <w:tcPr>
            <w:tcW w:w="0" w:type="auto"/>
          </w:tcPr>
          <w:p w14:paraId="21B394E2" w14:textId="7A8F3765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відповідально ю особою (комісією) з попереднього захисту</w:t>
            </w:r>
          </w:p>
        </w:tc>
      </w:tr>
      <w:tr w:rsidR="006C7CBC" w:rsidRPr="00D14646" w14:paraId="7641E289" w14:textId="77777777" w:rsidTr="00D14646">
        <w:tc>
          <w:tcPr>
            <w:tcW w:w="0" w:type="auto"/>
          </w:tcPr>
          <w:p w14:paraId="5A91E38A" w14:textId="738CF2AC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9D314B4" w14:textId="5EF8C7C5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супровідної документації до захисту </w:t>
            </w:r>
          </w:p>
        </w:tc>
        <w:tc>
          <w:tcPr>
            <w:tcW w:w="0" w:type="auto"/>
          </w:tcPr>
          <w:p w14:paraId="21CE0E17" w14:textId="779F6FDA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Супровідна документація ( рецензія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на роботу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; відгук наукового керівника; анотація)</w:t>
            </w:r>
          </w:p>
        </w:tc>
        <w:tc>
          <w:tcPr>
            <w:tcW w:w="0" w:type="auto"/>
          </w:tcPr>
          <w:p w14:paraId="78FF53E1" w14:textId="112E8DAF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відповідально ю особою</w:t>
            </w:r>
          </w:p>
        </w:tc>
      </w:tr>
      <w:tr w:rsidR="006C7CBC" w:rsidRPr="00D14646" w14:paraId="0DF80934" w14:textId="77777777" w:rsidTr="00D14646">
        <w:tc>
          <w:tcPr>
            <w:tcW w:w="0" w:type="auto"/>
          </w:tcPr>
          <w:p w14:paraId="589C8F17" w14:textId="0146A7A0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92A3FCC" w14:textId="13C61EDB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захисту і захист кваліфікаційної роботи </w:t>
            </w:r>
          </w:p>
        </w:tc>
        <w:tc>
          <w:tcPr>
            <w:tcW w:w="0" w:type="auto"/>
          </w:tcPr>
          <w:p w14:paraId="34DE31CD" w14:textId="16E256B5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тексту виступу, а також презентації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для візуального супроводу</w:t>
            </w:r>
          </w:p>
        </w:tc>
        <w:tc>
          <w:tcPr>
            <w:tcW w:w="0" w:type="auto"/>
          </w:tcPr>
          <w:p w14:paraId="4B296442" w14:textId="5FC8086D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узгодження виступу та презентації з науковим керівником</w:t>
            </w:r>
          </w:p>
        </w:tc>
      </w:tr>
      <w:tr w:rsidR="00D14646" w:rsidRPr="00D14646" w14:paraId="6F4A9369" w14:textId="77777777" w:rsidTr="00D14646">
        <w:tc>
          <w:tcPr>
            <w:tcW w:w="0" w:type="auto"/>
          </w:tcPr>
          <w:p w14:paraId="2EDBA654" w14:textId="0E995143" w:rsidR="00D14646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B88A9AD" w14:textId="441345AA" w:rsidR="00D14646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Захист роботи </w:t>
            </w:r>
          </w:p>
        </w:tc>
        <w:tc>
          <w:tcPr>
            <w:tcW w:w="0" w:type="auto"/>
          </w:tcPr>
          <w:p w14:paraId="04E21E6E" w14:textId="512EEAD9" w:rsidR="00D14646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кваліфікаційної роботи здійснюється на відкритому засіданні ЕК у терміни, визначені навчальними планами та згідно з графіком, який затверджується ректором університету</w:t>
            </w:r>
          </w:p>
        </w:tc>
        <w:tc>
          <w:tcPr>
            <w:tcW w:w="0" w:type="auto"/>
          </w:tcPr>
          <w:p w14:paraId="71B6077F" w14:textId="2692953D" w:rsidR="00D14646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екзаменаційна комісія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виставляє оцінку</w:t>
            </w:r>
          </w:p>
        </w:tc>
      </w:tr>
    </w:tbl>
    <w:p w14:paraId="02402262" w14:textId="77777777" w:rsidR="003B689C" w:rsidRPr="005F7C10" w:rsidRDefault="003B689C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394101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3F7F9ACE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</w:t>
      </w:r>
    </w:p>
    <w:p w14:paraId="1D62A9B4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6D152233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07A4690" w:rsidR="00281F28" w:rsidRPr="00874C08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Українець Л.А.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B339F"/>
    <w:multiLevelType w:val="hybridMultilevel"/>
    <w:tmpl w:val="D24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E49"/>
    <w:multiLevelType w:val="hybridMultilevel"/>
    <w:tmpl w:val="83B2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27997"/>
    <w:multiLevelType w:val="hybridMultilevel"/>
    <w:tmpl w:val="DCBA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024A31"/>
    <w:multiLevelType w:val="hybridMultilevel"/>
    <w:tmpl w:val="3C167200"/>
    <w:lvl w:ilvl="0" w:tplc="DDBE472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7F"/>
    <w:multiLevelType w:val="hybridMultilevel"/>
    <w:tmpl w:val="2A788122"/>
    <w:lvl w:ilvl="0" w:tplc="0419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52A7E"/>
    <w:multiLevelType w:val="hybridMultilevel"/>
    <w:tmpl w:val="FE4C68D4"/>
    <w:lvl w:ilvl="0" w:tplc="69B6E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4632E"/>
    <w:multiLevelType w:val="hybridMultilevel"/>
    <w:tmpl w:val="4B4AE00A"/>
    <w:lvl w:ilvl="0" w:tplc="DDBE472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D4D85"/>
    <w:multiLevelType w:val="hybridMultilevel"/>
    <w:tmpl w:val="335A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3"/>
  </w:num>
  <w:num w:numId="6">
    <w:abstractNumId w:val="3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7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4"/>
  </w:num>
  <w:num w:numId="16">
    <w:abstractNumId w:val="37"/>
  </w:num>
  <w:num w:numId="17">
    <w:abstractNumId w:val="18"/>
  </w:num>
  <w:num w:numId="18">
    <w:abstractNumId w:val="25"/>
  </w:num>
  <w:num w:numId="19">
    <w:abstractNumId w:val="12"/>
  </w:num>
  <w:num w:numId="20">
    <w:abstractNumId w:val="19"/>
  </w:num>
  <w:num w:numId="21">
    <w:abstractNumId w:val="30"/>
  </w:num>
  <w:num w:numId="22">
    <w:abstractNumId w:val="4"/>
  </w:num>
  <w:num w:numId="23">
    <w:abstractNumId w:val="33"/>
  </w:num>
  <w:num w:numId="24">
    <w:abstractNumId w:val="22"/>
  </w:num>
  <w:num w:numId="25">
    <w:abstractNumId w:val="6"/>
  </w:num>
  <w:num w:numId="26">
    <w:abstractNumId w:val="7"/>
  </w:num>
  <w:num w:numId="27">
    <w:abstractNumId w:val="2"/>
  </w:num>
  <w:num w:numId="28">
    <w:abstractNumId w:val="29"/>
  </w:num>
  <w:num w:numId="29">
    <w:abstractNumId w:val="5"/>
  </w:num>
  <w:num w:numId="30">
    <w:abstractNumId w:val="26"/>
  </w:num>
  <w:num w:numId="31">
    <w:abstractNumId w:val="38"/>
  </w:num>
  <w:num w:numId="32">
    <w:abstractNumId w:val="32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I3tzQ0MDU2MzJV0lEKTi0uzszPAykwrQUAFAAfeSwAAAA="/>
  </w:docVars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237CC"/>
    <w:rsid w:val="00145F6B"/>
    <w:rsid w:val="00157D74"/>
    <w:rsid w:val="001641A3"/>
    <w:rsid w:val="001A0773"/>
    <w:rsid w:val="001D53E2"/>
    <w:rsid w:val="001E5B66"/>
    <w:rsid w:val="0020340A"/>
    <w:rsid w:val="00265C26"/>
    <w:rsid w:val="002727E4"/>
    <w:rsid w:val="00281F28"/>
    <w:rsid w:val="002D6DDF"/>
    <w:rsid w:val="002E7FB7"/>
    <w:rsid w:val="002F72CE"/>
    <w:rsid w:val="00311F5E"/>
    <w:rsid w:val="00335465"/>
    <w:rsid w:val="00362F02"/>
    <w:rsid w:val="00380B3B"/>
    <w:rsid w:val="0039059D"/>
    <w:rsid w:val="003B689C"/>
    <w:rsid w:val="003D1A7F"/>
    <w:rsid w:val="003D4FDA"/>
    <w:rsid w:val="00420D54"/>
    <w:rsid w:val="00421A9B"/>
    <w:rsid w:val="00436927"/>
    <w:rsid w:val="004510E7"/>
    <w:rsid w:val="0045456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D043F"/>
    <w:rsid w:val="005E47D5"/>
    <w:rsid w:val="005F7C10"/>
    <w:rsid w:val="00603F7F"/>
    <w:rsid w:val="006170FA"/>
    <w:rsid w:val="006771E4"/>
    <w:rsid w:val="00677671"/>
    <w:rsid w:val="0069353C"/>
    <w:rsid w:val="006A35A3"/>
    <w:rsid w:val="006A595E"/>
    <w:rsid w:val="006C6B88"/>
    <w:rsid w:val="006C7CBC"/>
    <w:rsid w:val="006D0DA4"/>
    <w:rsid w:val="006E2642"/>
    <w:rsid w:val="00706B7F"/>
    <w:rsid w:val="00710149"/>
    <w:rsid w:val="00712B5D"/>
    <w:rsid w:val="0075506C"/>
    <w:rsid w:val="00780B46"/>
    <w:rsid w:val="007B0A11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9028F8"/>
    <w:rsid w:val="00906728"/>
    <w:rsid w:val="009111EF"/>
    <w:rsid w:val="00920325"/>
    <w:rsid w:val="009363B1"/>
    <w:rsid w:val="0097693D"/>
    <w:rsid w:val="009B47B7"/>
    <w:rsid w:val="009D4D8E"/>
    <w:rsid w:val="009D6857"/>
    <w:rsid w:val="00A23DF2"/>
    <w:rsid w:val="00A63843"/>
    <w:rsid w:val="00A702B4"/>
    <w:rsid w:val="00AA34E5"/>
    <w:rsid w:val="00AC5F0A"/>
    <w:rsid w:val="00AC6ACE"/>
    <w:rsid w:val="00AE3C52"/>
    <w:rsid w:val="00B448EE"/>
    <w:rsid w:val="00B90FF8"/>
    <w:rsid w:val="00B946D6"/>
    <w:rsid w:val="00BC1411"/>
    <w:rsid w:val="00BD1015"/>
    <w:rsid w:val="00BD14D0"/>
    <w:rsid w:val="00BD403C"/>
    <w:rsid w:val="00BF19BE"/>
    <w:rsid w:val="00C05A72"/>
    <w:rsid w:val="00C077B8"/>
    <w:rsid w:val="00C1667F"/>
    <w:rsid w:val="00C231D5"/>
    <w:rsid w:val="00C241D5"/>
    <w:rsid w:val="00C30E71"/>
    <w:rsid w:val="00C427FC"/>
    <w:rsid w:val="00C4452D"/>
    <w:rsid w:val="00C63B92"/>
    <w:rsid w:val="00C92D07"/>
    <w:rsid w:val="00C979CC"/>
    <w:rsid w:val="00CD737B"/>
    <w:rsid w:val="00CE0C4F"/>
    <w:rsid w:val="00CE486D"/>
    <w:rsid w:val="00D11E70"/>
    <w:rsid w:val="00D14646"/>
    <w:rsid w:val="00D256A8"/>
    <w:rsid w:val="00D40993"/>
    <w:rsid w:val="00D47CF1"/>
    <w:rsid w:val="00D66C26"/>
    <w:rsid w:val="00DC2DB3"/>
    <w:rsid w:val="00DC5408"/>
    <w:rsid w:val="00DD2B30"/>
    <w:rsid w:val="00DD7D8E"/>
    <w:rsid w:val="00DF0426"/>
    <w:rsid w:val="00DF3803"/>
    <w:rsid w:val="00ED2321"/>
    <w:rsid w:val="00EF7735"/>
    <w:rsid w:val="00F0246D"/>
    <w:rsid w:val="00F328DB"/>
    <w:rsid w:val="00F4228F"/>
    <w:rsid w:val="00F51272"/>
    <w:rsid w:val="00F74F0F"/>
    <w:rsid w:val="00F75688"/>
    <w:rsid w:val="00F93F49"/>
    <w:rsid w:val="00F9732D"/>
    <w:rsid w:val="00FB1CD3"/>
    <w:rsid w:val="00FB5320"/>
    <w:rsid w:val="00FB59B4"/>
    <w:rsid w:val="00FC1CBC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0CF2-A9B3-47E6-86E3-0F6C1A0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2878</Words>
  <Characters>16407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Ліля</cp:lastModifiedBy>
  <cp:revision>4</cp:revision>
  <cp:lastPrinted>2021-08-18T12:31:00Z</cp:lastPrinted>
  <dcterms:created xsi:type="dcterms:W3CDTF">2024-01-16T07:58:00Z</dcterms:created>
  <dcterms:modified xsi:type="dcterms:W3CDTF">2024-01-16T08:03:00Z</dcterms:modified>
</cp:coreProperties>
</file>