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13" w:rsidRPr="00BC4513" w:rsidRDefault="00BC4513" w:rsidP="00BC451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ПРОГРАМА НАВЧАЛЬНОЇ ДИСЦИПЛІНИ «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СУЧАСНІ ІНВЕСТИЦІЙНІ СТРАТЕГІЇ</w:t>
      </w: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:rsidR="00BC4513" w:rsidRPr="00BC4513" w:rsidRDefault="00BC4513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4513" w:rsidRPr="00BC4513" w:rsidRDefault="00BC4513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074A2" w:rsidRPr="00BC4513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1. Вступ до курсу "Сучасні інвестиційні стратегії". Основні принципи, напрямки та стратегії інвестування.</w:t>
      </w:r>
    </w:p>
    <w:p w:rsidR="008074A2" w:rsidRPr="00BC4513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074A2" w:rsidRPr="00BC4513" w:rsidRDefault="008074A2" w:rsidP="00175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sz w:val="20"/>
          <w:szCs w:val="20"/>
          <w:lang w:val="uk-UA"/>
        </w:rPr>
        <w:t>Суть, цілі та основні принципи інвестування. Напрямки інвестування.</w:t>
      </w:r>
      <w:r w:rsidR="0017526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4513">
        <w:rPr>
          <w:rFonts w:ascii="Times New Roman" w:hAnsi="Times New Roman" w:cs="Times New Roman"/>
          <w:sz w:val="20"/>
          <w:szCs w:val="20"/>
          <w:lang w:val="uk-UA"/>
        </w:rPr>
        <w:t>Інвестиційні стратегії: види та зв'язок з психотипом інвестора.</w:t>
      </w:r>
      <w:r w:rsidR="0017526F">
        <w:rPr>
          <w:rFonts w:ascii="Times New Roman" w:hAnsi="Times New Roman" w:cs="Times New Roman"/>
          <w:sz w:val="20"/>
          <w:szCs w:val="20"/>
          <w:lang w:val="uk-UA"/>
        </w:rPr>
        <w:t xml:space="preserve"> Інвестори, арбітражери, спекулянти та їх види, хеджери. Консервативне, помірне та агресивне інвестування. </w:t>
      </w:r>
      <w:r w:rsidRPr="00BC4513">
        <w:rPr>
          <w:rFonts w:ascii="Times New Roman" w:hAnsi="Times New Roman" w:cs="Times New Roman"/>
          <w:sz w:val="20"/>
          <w:szCs w:val="20"/>
          <w:lang w:val="uk-UA"/>
        </w:rPr>
        <w:t>"Золоте" правило інвестування.</w:t>
      </w:r>
      <w:r w:rsidR="0017526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21D04">
        <w:rPr>
          <w:rFonts w:ascii="Times New Roman" w:hAnsi="Times New Roman" w:cs="Times New Roman"/>
          <w:sz w:val="20"/>
          <w:szCs w:val="20"/>
          <w:lang w:val="uk-UA"/>
        </w:rPr>
        <w:t xml:space="preserve">Вибір інвестиційної стратегії. </w:t>
      </w:r>
      <w:r w:rsidR="0017526F">
        <w:rPr>
          <w:rFonts w:ascii="Times New Roman" w:hAnsi="Times New Roman" w:cs="Times New Roman"/>
          <w:sz w:val="20"/>
          <w:szCs w:val="20"/>
          <w:lang w:val="uk-UA"/>
        </w:rPr>
        <w:t>Етапи інвестування.</w:t>
      </w:r>
    </w:p>
    <w:p w:rsidR="008074A2" w:rsidRDefault="008074A2" w:rsidP="00175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C453C" w:rsidRPr="00BC4513" w:rsidRDefault="000C453C" w:rsidP="008074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074A2" w:rsidRPr="00BC4513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2. Час та поведінка інвестора.</w:t>
      </w:r>
    </w:p>
    <w:p w:rsidR="008074A2" w:rsidRPr="00BC4513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F49F6" w:rsidRPr="00BC4513" w:rsidRDefault="000C453C" w:rsidP="00A049A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Час та його використання. Шлях до інвестування.</w:t>
      </w:r>
      <w:r w:rsidR="0017526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Активна та пасивна інвестиційна стратегія. 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Інвестиційні стратегії для різних етапів життя.</w:t>
      </w:r>
      <w:r w:rsidR="0017526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Зміна вартості грошей у часі.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Концепція майбутньої та теперішньої вартості грошей.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«Правило 72». Ануїтет. Майбутня та теперішня вартість ануїтету. 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Внутрішня вартість облігації.</w:t>
      </w:r>
    </w:p>
    <w:p w:rsidR="008074A2" w:rsidRDefault="008074A2" w:rsidP="00A049A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C453C" w:rsidRPr="00BC4513" w:rsidRDefault="000C453C" w:rsidP="008074A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8074A2" w:rsidRPr="0017526F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3. Консервативне інвестування</w:t>
      </w:r>
      <w:r w:rsidR="00A272DA" w:rsidRPr="0017526F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0C453C" w:rsidRPr="0017526F" w:rsidRDefault="000C453C" w:rsidP="008074A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D57E0" w:rsidRDefault="000C453C" w:rsidP="000A64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Депозити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їх види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Основні кроки до успішного розміщення депозитів. </w:t>
      </w:r>
      <w:r w:rsidR="000A64C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Як не стати жертвою шахраїв? Правила безпечного користування фінансовими послугами. Правила нарахування відсотків на депозит. </w:t>
      </w:r>
      <w:r w:rsidR="00DA7075">
        <w:rPr>
          <w:rFonts w:ascii="Times New Roman" w:hAnsi="Times New Roman" w:cs="Times New Roman"/>
          <w:bCs/>
          <w:sz w:val="20"/>
          <w:szCs w:val="20"/>
          <w:lang w:val="uk-UA"/>
        </w:rPr>
        <w:t>Відшкодування вкладів</w:t>
      </w:r>
      <w:r w:rsidR="000A64C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Ф</w:t>
      </w:r>
      <w:r w:rsidR="000A64CA" w:rsidRPr="000A64C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ондом гарантування вкладів фізичних осіб </w:t>
      </w:r>
      <w:r w:rsidR="000A64CA">
        <w:rPr>
          <w:rFonts w:ascii="Times New Roman" w:hAnsi="Times New Roman" w:cs="Times New Roman"/>
          <w:bCs/>
          <w:sz w:val="20"/>
          <w:szCs w:val="20"/>
          <w:lang w:val="uk-UA"/>
        </w:rPr>
        <w:t>(ФГВФО)</w:t>
      </w:r>
      <w:r w:rsidR="00DA7075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D57E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Український індекс ставок за депозитами фізичних осіб (</w:t>
      </w:r>
      <w:r w:rsidR="005D57E0">
        <w:rPr>
          <w:rFonts w:ascii="Times New Roman" w:hAnsi="Times New Roman" w:cs="Times New Roman"/>
          <w:bCs/>
          <w:sz w:val="20"/>
          <w:szCs w:val="20"/>
        </w:rPr>
        <w:t>UIRD</w:t>
      </w:r>
      <w:r w:rsidR="005D57E0">
        <w:rPr>
          <w:rFonts w:ascii="Times New Roman" w:hAnsi="Times New Roman" w:cs="Times New Roman"/>
          <w:bCs/>
          <w:sz w:val="20"/>
          <w:szCs w:val="20"/>
          <w:lang w:val="uk-UA"/>
        </w:rPr>
        <w:t>). Рейтинг стійкості банків.</w:t>
      </w:r>
    </w:p>
    <w:p w:rsidR="002E4CD2" w:rsidRDefault="000C453C" w:rsidP="005D57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Недержавні пенсійні фонди.</w:t>
      </w:r>
      <w:r w:rsidR="00A049A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5D57E0">
        <w:rPr>
          <w:rFonts w:ascii="Times New Roman" w:hAnsi="Times New Roman" w:cs="Times New Roman"/>
          <w:bCs/>
          <w:sz w:val="20"/>
          <w:szCs w:val="20"/>
          <w:lang w:val="uk-UA"/>
        </w:rPr>
        <w:t>Солідарна, накопичувальна, змішана (накопичувально-солідарна, солідарно-накопичувальна) пенсійні системи. Рівні пенсійної системи. Проблема старіння населення в Україні.</w:t>
      </w:r>
      <w:r w:rsidR="002E4CD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Недержавне пенсійне забезпечення. Пенсійна реформа в Україні. Види недержавних пенсійних фондів. Оподаткування пенсійних виплат на третьому рівні.</w:t>
      </w:r>
    </w:p>
    <w:p w:rsidR="007066B1" w:rsidRDefault="000C453C" w:rsidP="005D57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Державні облігації. </w:t>
      </w:r>
      <w:r w:rsidR="007066B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Переваги та недоліки облігацій. Переваги ОВДП. Особливості обігу ОВДП, емітованих в доларах США та євро. </w:t>
      </w:r>
      <w:r w:rsidR="00E81B0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Поради щодо інвестицій в облігації. </w:t>
      </w:r>
    </w:p>
    <w:p w:rsidR="00EB112D" w:rsidRDefault="000C453C" w:rsidP="005D57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Страхові продукти.</w:t>
      </w:r>
      <w:r w:rsidR="004D7B5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Основні поняття ринку страхових послуг. Страхові компанії «</w:t>
      </w:r>
      <w:r w:rsidR="004D7B5E">
        <w:rPr>
          <w:rFonts w:ascii="Times New Roman" w:hAnsi="Times New Roman" w:cs="Times New Roman"/>
          <w:bCs/>
          <w:sz w:val="20"/>
          <w:szCs w:val="20"/>
        </w:rPr>
        <w:t>life</w:t>
      </w:r>
      <w:r w:rsidR="004D7B5E">
        <w:rPr>
          <w:rFonts w:ascii="Times New Roman" w:hAnsi="Times New Roman" w:cs="Times New Roman"/>
          <w:bCs/>
          <w:sz w:val="20"/>
          <w:szCs w:val="20"/>
          <w:lang w:val="uk-UA"/>
        </w:rPr>
        <w:t>»</w:t>
      </w:r>
      <w:r w:rsidR="004D7B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7B5E">
        <w:rPr>
          <w:rFonts w:ascii="Times New Roman" w:hAnsi="Times New Roman" w:cs="Times New Roman"/>
          <w:bCs/>
          <w:sz w:val="20"/>
          <w:szCs w:val="20"/>
          <w:lang w:val="uk-UA"/>
        </w:rPr>
        <w:t>і «</w:t>
      </w:r>
      <w:r w:rsidR="004D7B5E">
        <w:rPr>
          <w:rFonts w:ascii="Times New Roman" w:hAnsi="Times New Roman" w:cs="Times New Roman"/>
          <w:bCs/>
          <w:sz w:val="20"/>
          <w:szCs w:val="20"/>
        </w:rPr>
        <w:t>non-life</w:t>
      </w:r>
      <w:r w:rsidR="004D7B5E">
        <w:rPr>
          <w:rFonts w:ascii="Times New Roman" w:hAnsi="Times New Roman" w:cs="Times New Roman"/>
          <w:bCs/>
          <w:sz w:val="20"/>
          <w:szCs w:val="20"/>
          <w:lang w:val="uk-UA"/>
        </w:rPr>
        <w:t>»</w:t>
      </w:r>
      <w:r w:rsidR="004D7B5E">
        <w:rPr>
          <w:rFonts w:ascii="Times New Roman" w:hAnsi="Times New Roman" w:cs="Times New Roman"/>
          <w:bCs/>
          <w:sz w:val="20"/>
          <w:szCs w:val="20"/>
        </w:rPr>
        <w:t>.</w:t>
      </w:r>
      <w:r w:rsidR="00B70D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0D3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Страхування життя, страхування здоров’я, пенсійне та інвестиційне страхування. Договори довгострокового та недовгострокового страхування життя. Особливості оподаткування страхових виплат. </w:t>
      </w:r>
    </w:p>
    <w:p w:rsidR="006F49F6" w:rsidRPr="00B70D39" w:rsidRDefault="00EB112D" w:rsidP="005D57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Порівняльний аналіз інструментів консервативного інвестування. </w:t>
      </w:r>
      <w:r w:rsidR="00EE365E">
        <w:rPr>
          <w:rFonts w:ascii="Times New Roman" w:hAnsi="Times New Roman" w:cs="Times New Roman"/>
          <w:bCs/>
          <w:sz w:val="20"/>
          <w:szCs w:val="20"/>
          <w:lang w:val="uk-UA"/>
        </w:rPr>
        <w:t>Порядок дій у випадку порушення прав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інвестора</w:t>
      </w:r>
      <w:r w:rsidR="00EE365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фінансовою установою.</w:t>
      </w:r>
      <w:r w:rsidR="00B70D3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0C453C" w:rsidRPr="00BC4513" w:rsidRDefault="000C453C" w:rsidP="000C453C">
      <w:pPr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8074A2" w:rsidRPr="00BC4513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074A2" w:rsidRPr="00A049AE" w:rsidRDefault="008074A2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Тема 4. Помірне інвестування</w:t>
      </w:r>
      <w:r w:rsidR="00A272DA" w:rsidRPr="00A049AE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0C453C" w:rsidRPr="00A049AE" w:rsidRDefault="000C453C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F49F6" w:rsidRPr="00BC4513" w:rsidRDefault="000C453C" w:rsidP="00B66A6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Нерухомість.</w:t>
      </w:r>
      <w:r w:rsidR="00EE365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Цілі інвестування в нерухомість.</w:t>
      </w:r>
      <w:r w:rsidR="0013140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Види інвестицій в нерухомість. Терміни інвестування. Формула Роберта Шиллера. Особливості коливання цін на ринку нерухомості. </w:t>
      </w:r>
      <w:r w:rsidR="001A2EF5">
        <w:rPr>
          <w:rFonts w:ascii="Times New Roman" w:hAnsi="Times New Roman" w:cs="Times New Roman"/>
          <w:bCs/>
          <w:sz w:val="20"/>
          <w:szCs w:val="20"/>
          <w:lang w:val="uk-UA"/>
        </w:rPr>
        <w:t>Стратегії інвестування в нерухомість. Оподаткування операцій з нерухомістю. Переваги та недоліки інвестицій у нерухомість.</w:t>
      </w:r>
    </w:p>
    <w:p w:rsidR="006F49F6" w:rsidRPr="00BC4513" w:rsidRDefault="000C453C" w:rsidP="001A2EF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Дорогоцінні метали</w:t>
      </w:r>
      <w:r w:rsidR="001A2EF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їх види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A2EF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Тенденції розвитку ринку дорогоцінних металів. </w:t>
      </w:r>
      <w:r w:rsidR="0086194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Способи вкладення в дорогоцінні метали в Україні. Переваги та недоліки інвестицій в дорогоцінні метали. Вибір фінансової установи для </w:t>
      </w:r>
      <w:r w:rsidR="0026087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відкриття металевого рахунку. </w:t>
      </w:r>
    </w:p>
    <w:p w:rsidR="006F49F6" w:rsidRDefault="00260879" w:rsidP="0026087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Інститути спільного інвестування (ІСІ). </w:t>
      </w:r>
      <w:proofErr w:type="spellStart"/>
      <w:r w:rsidR="00C11F1B">
        <w:rPr>
          <w:rFonts w:ascii="Times New Roman" w:hAnsi="Times New Roman" w:cs="Times New Roman"/>
          <w:bCs/>
          <w:sz w:val="20"/>
          <w:szCs w:val="20"/>
          <w:lang w:val="uk-UA"/>
        </w:rPr>
        <w:t>КІФи</w:t>
      </w:r>
      <w:proofErr w:type="spellEnd"/>
      <w:r w:rsidR="00C11F1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</w:t>
      </w:r>
      <w:proofErr w:type="spellStart"/>
      <w:r w:rsidR="000C453C"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ПІФи</w:t>
      </w:r>
      <w:proofErr w:type="spellEnd"/>
      <w:r w:rsidR="000C453C" w:rsidRPr="00BC451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BB0F0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A34D8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Відкриті, інтервальні і закриті інвестиційні фонди. Строкові та безстрокові, диверсифіковані та недиверсифіковані, венчурні та невенчурні інвестиційні фонди. Спеціалізовані та кваліфікаційні інвестиційні фонди. Переваги та недоліки </w:t>
      </w:r>
      <w:r w:rsidR="00611CA2">
        <w:rPr>
          <w:rFonts w:ascii="Times New Roman" w:hAnsi="Times New Roman" w:cs="Times New Roman"/>
          <w:bCs/>
          <w:sz w:val="20"/>
          <w:szCs w:val="20"/>
          <w:lang w:val="uk-UA"/>
        </w:rPr>
        <w:t>вкладень в</w:t>
      </w:r>
      <w:r w:rsidR="00383DA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інвестиційні фонди залежно від </w:t>
      </w:r>
      <w:r w:rsidR="00611CA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його типу. </w:t>
      </w:r>
      <w:r w:rsidR="00383DA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 що потрібно звертати увагу </w:t>
      </w:r>
      <w:r w:rsidR="00383DA2" w:rsidRPr="00383DA2">
        <w:rPr>
          <w:rFonts w:ascii="Times New Roman" w:hAnsi="Times New Roman" w:cs="Times New Roman"/>
          <w:bCs/>
          <w:sz w:val="20"/>
          <w:szCs w:val="20"/>
          <w:lang w:val="uk-UA"/>
        </w:rPr>
        <w:t>при виборі інвестиційного фонду?</w:t>
      </w:r>
      <w:r w:rsidR="00383DA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Розвиток ринку ІСІ в Україні. Оподаткування доходів інвестора інвестиційного фонду. Дохідність інвестиційних фондів.</w:t>
      </w:r>
    </w:p>
    <w:p w:rsidR="006F49F6" w:rsidRPr="00BC4513" w:rsidRDefault="000C453C" w:rsidP="00383DA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</w:rPr>
        <w:t>ETF</w:t>
      </w:r>
      <w:r w:rsidR="004545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їх переваги. Види </w:t>
      </w:r>
      <w:r w:rsidR="00454536">
        <w:rPr>
          <w:rFonts w:ascii="Times New Roman" w:hAnsi="Times New Roman" w:cs="Times New Roman"/>
          <w:bCs/>
          <w:sz w:val="20"/>
          <w:szCs w:val="20"/>
        </w:rPr>
        <w:t>ETF</w:t>
      </w:r>
      <w:r w:rsidR="00454536" w:rsidRPr="004545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="004545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Індексний </w:t>
      </w:r>
      <w:r w:rsidR="00454536">
        <w:rPr>
          <w:rFonts w:ascii="Times New Roman" w:hAnsi="Times New Roman" w:cs="Times New Roman"/>
          <w:bCs/>
          <w:sz w:val="20"/>
          <w:szCs w:val="20"/>
        </w:rPr>
        <w:t>ETF</w:t>
      </w:r>
      <w:r w:rsidR="004545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: переваги та недоліки. Вибір індексного </w:t>
      </w:r>
      <w:r w:rsidR="00454536">
        <w:rPr>
          <w:rFonts w:ascii="Times New Roman" w:hAnsi="Times New Roman" w:cs="Times New Roman"/>
          <w:bCs/>
          <w:sz w:val="20"/>
          <w:szCs w:val="20"/>
        </w:rPr>
        <w:t>ETF</w:t>
      </w:r>
      <w:r w:rsidR="004545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BC4513">
        <w:rPr>
          <w:rFonts w:ascii="Times New Roman" w:hAnsi="Times New Roman" w:cs="Times New Roman"/>
          <w:bCs/>
          <w:sz w:val="20"/>
          <w:szCs w:val="20"/>
        </w:rPr>
        <w:t>REIT</w:t>
      </w:r>
      <w:r w:rsid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їх особливості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Види </w:t>
      </w:r>
      <w:r w:rsidR="00E45809">
        <w:rPr>
          <w:rFonts w:ascii="Times New Roman" w:hAnsi="Times New Roman" w:cs="Times New Roman"/>
          <w:bCs/>
          <w:sz w:val="20"/>
          <w:szCs w:val="20"/>
        </w:rPr>
        <w:t>REIT</w:t>
      </w:r>
      <w:r w:rsidR="00E45809" w:rsidRP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Чинники, що впливають на дохідність </w:t>
      </w:r>
      <w:r w:rsidR="00E45809">
        <w:rPr>
          <w:rFonts w:ascii="Times New Roman" w:hAnsi="Times New Roman" w:cs="Times New Roman"/>
          <w:bCs/>
          <w:sz w:val="20"/>
          <w:szCs w:val="20"/>
        </w:rPr>
        <w:t>REIT</w:t>
      </w:r>
      <w:r w:rsidR="00E45809" w:rsidRP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="00E458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Вибір </w:t>
      </w:r>
      <w:r w:rsidR="00E45809">
        <w:rPr>
          <w:rFonts w:ascii="Times New Roman" w:hAnsi="Times New Roman" w:cs="Times New Roman"/>
          <w:bCs/>
          <w:sz w:val="20"/>
          <w:szCs w:val="20"/>
        </w:rPr>
        <w:t>REIT</w:t>
      </w:r>
      <w:r w:rsidR="00E45809" w:rsidRPr="00E45809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E45809" w:rsidRPr="00DA707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6F49F6" w:rsidRPr="00AC4DCE" w:rsidRDefault="000C453C" w:rsidP="002D4A0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Акції великих компаній («голубі фішки»). </w:t>
      </w:r>
      <w:r w:rsidR="00C1097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Основи фундаментального аналізу. </w:t>
      </w:r>
      <w:r w:rsidR="00EB112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Методологія пошуку недооціненої компанії в галузі. </w:t>
      </w:r>
      <w:r w:rsidR="00AC4DC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Внутрішня вартість компанії. </w:t>
      </w:r>
      <w:r w:rsidR="00C10974">
        <w:rPr>
          <w:rFonts w:ascii="Times New Roman" w:hAnsi="Times New Roman" w:cs="Times New Roman"/>
          <w:bCs/>
          <w:sz w:val="20"/>
          <w:szCs w:val="20"/>
          <w:lang w:val="uk-UA"/>
        </w:rPr>
        <w:t>Вартісна оцінка акцій на основі мультиплікаторів.</w:t>
      </w:r>
      <w:r w:rsidR="00AC4DCE" w:rsidRPr="00AC4DC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A272DA" w:rsidRDefault="00A272DA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C453C" w:rsidRDefault="000C453C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D22844" w:rsidRDefault="00D22844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D22844" w:rsidRPr="00BC4513" w:rsidRDefault="00D22844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GoBack"/>
      <w:bookmarkEnd w:id="0"/>
    </w:p>
    <w:p w:rsidR="00A272DA" w:rsidRDefault="00A272DA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bCs/>
          <w:sz w:val="20"/>
          <w:szCs w:val="20"/>
          <w:lang w:val="uk-UA"/>
        </w:rPr>
        <w:lastRenderedPageBreak/>
        <w:t>Тема 5. Агресивне інвестування.</w:t>
      </w:r>
    </w:p>
    <w:p w:rsidR="000C453C" w:rsidRPr="00BC4513" w:rsidRDefault="000C453C" w:rsidP="008074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F49F6" w:rsidRPr="005A2D75" w:rsidRDefault="005A2D75" w:rsidP="00AD54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IPO</w:t>
      </w:r>
      <w:r w:rsidR="000C453C" w:rsidRPr="00BC451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AD546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Причини виходу компаній на ІРО. Переваги інвестування в компанію на стадії ІРО. Особливості проведення ІРО. Ціна розміщення та ціна відкриття.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Алокація. Порівняння ІРО та </w:t>
      </w:r>
      <w:r>
        <w:rPr>
          <w:rFonts w:ascii="Times New Roman" w:hAnsi="Times New Roman" w:cs="Times New Roman"/>
          <w:bCs/>
          <w:sz w:val="20"/>
          <w:szCs w:val="20"/>
        </w:rPr>
        <w:t>Pre</w:t>
      </w:r>
      <w:r w:rsidRPr="005A2D75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IPO</w:t>
      </w:r>
      <w:r w:rsidRPr="005A2D75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Як обрати компанію для інвестицій в ІРО? Участь у ІРО. Ризики ІРО. </w:t>
      </w:r>
    </w:p>
    <w:p w:rsidR="006F49F6" w:rsidRPr="00DA7075" w:rsidRDefault="000C453C" w:rsidP="00AD54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Стартапи. </w:t>
      </w:r>
      <w:r w:rsidR="004E049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Стадії залучення інвестицій. </w:t>
      </w:r>
      <w:r w:rsidR="00B31B0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Особливості </w:t>
      </w:r>
      <w:r w:rsidR="00B31B08">
        <w:rPr>
          <w:rFonts w:ascii="Times New Roman" w:hAnsi="Times New Roman" w:cs="Times New Roman"/>
          <w:bCs/>
          <w:sz w:val="20"/>
          <w:szCs w:val="20"/>
        </w:rPr>
        <w:t>Pre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B31B08">
        <w:rPr>
          <w:rFonts w:ascii="Times New Roman" w:hAnsi="Times New Roman" w:cs="Times New Roman"/>
          <w:bCs/>
          <w:sz w:val="20"/>
          <w:szCs w:val="20"/>
        </w:rPr>
        <w:t>Seed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31B08">
        <w:rPr>
          <w:rFonts w:ascii="Times New Roman" w:hAnsi="Times New Roman" w:cs="Times New Roman"/>
          <w:bCs/>
          <w:sz w:val="20"/>
          <w:szCs w:val="20"/>
        </w:rPr>
        <w:t>Funding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31B0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або </w:t>
      </w:r>
      <w:r w:rsidR="00B31B08">
        <w:rPr>
          <w:rFonts w:ascii="Times New Roman" w:hAnsi="Times New Roman" w:cs="Times New Roman"/>
          <w:bCs/>
          <w:sz w:val="20"/>
          <w:szCs w:val="20"/>
        </w:rPr>
        <w:t>FFF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B31B08">
        <w:rPr>
          <w:rFonts w:ascii="Times New Roman" w:hAnsi="Times New Roman" w:cs="Times New Roman"/>
          <w:bCs/>
          <w:sz w:val="20"/>
          <w:szCs w:val="20"/>
        </w:rPr>
        <w:t>investing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31B08">
        <w:rPr>
          <w:rFonts w:ascii="Times New Roman" w:hAnsi="Times New Roman" w:cs="Times New Roman"/>
          <w:bCs/>
          <w:sz w:val="20"/>
          <w:szCs w:val="20"/>
        </w:rPr>
        <w:t>period</w:t>
      </w:r>
      <w:r w:rsidR="00B31B08" w:rsidRPr="00DA707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="00B31B08">
        <w:rPr>
          <w:rFonts w:ascii="Times New Roman" w:hAnsi="Times New Roman" w:cs="Times New Roman"/>
          <w:bCs/>
          <w:sz w:val="20"/>
          <w:szCs w:val="20"/>
          <w:lang w:val="uk-UA"/>
        </w:rPr>
        <w:t>Особливості оформлення інвестиції на стаді</w:t>
      </w:r>
      <w:r w:rsidR="00EB112D">
        <w:rPr>
          <w:rFonts w:ascii="Times New Roman" w:hAnsi="Times New Roman" w:cs="Times New Roman"/>
          <w:bCs/>
          <w:sz w:val="20"/>
          <w:szCs w:val="20"/>
          <w:lang w:val="uk-UA"/>
        </w:rPr>
        <w:t>ї</w:t>
      </w:r>
      <w:r w:rsidR="00B31B0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31B08">
        <w:rPr>
          <w:rFonts w:ascii="Times New Roman" w:hAnsi="Times New Roman" w:cs="Times New Roman"/>
          <w:bCs/>
          <w:sz w:val="20"/>
          <w:szCs w:val="20"/>
        </w:rPr>
        <w:t>Seed</w:t>
      </w:r>
      <w:r w:rsidR="00B31B08" w:rsidRPr="00D2284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31B08">
        <w:rPr>
          <w:rFonts w:ascii="Times New Roman" w:hAnsi="Times New Roman" w:cs="Times New Roman"/>
          <w:bCs/>
          <w:sz w:val="20"/>
          <w:szCs w:val="20"/>
        </w:rPr>
        <w:t>Funding</w:t>
      </w:r>
      <w:r w:rsidR="00B31B08" w:rsidRPr="00D22844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B31B0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Інвестори-янголи та акселератори. Особливості раундів </w:t>
      </w:r>
      <w:r w:rsidR="00B31B08">
        <w:rPr>
          <w:rFonts w:ascii="Times New Roman" w:hAnsi="Times New Roman" w:cs="Times New Roman"/>
          <w:bCs/>
          <w:sz w:val="20"/>
          <w:szCs w:val="20"/>
        </w:rPr>
        <w:t>A</w:t>
      </w:r>
      <w:r w:rsidR="00B31B08" w:rsidRPr="003453DC">
        <w:rPr>
          <w:rFonts w:ascii="Times New Roman" w:hAnsi="Times New Roman" w:cs="Times New Roman"/>
          <w:bCs/>
          <w:sz w:val="20"/>
          <w:szCs w:val="20"/>
          <w:lang w:val="uk-UA"/>
        </w:rPr>
        <w:t>…</w:t>
      </w:r>
      <w:r w:rsidR="00B31B08">
        <w:rPr>
          <w:rFonts w:ascii="Times New Roman" w:hAnsi="Times New Roman" w:cs="Times New Roman"/>
          <w:bCs/>
          <w:sz w:val="20"/>
          <w:szCs w:val="20"/>
        </w:rPr>
        <w:t>D</w:t>
      </w:r>
      <w:r w:rsidR="00B31B08" w:rsidRPr="003453D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3453D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венчурні інвестори. </w:t>
      </w:r>
      <w:r w:rsidR="003453DC" w:rsidRPr="003453DC">
        <w:rPr>
          <w:rFonts w:ascii="Times New Roman" w:hAnsi="Times New Roman" w:cs="Times New Roman"/>
          <w:bCs/>
          <w:sz w:val="20"/>
          <w:szCs w:val="20"/>
        </w:rPr>
        <w:t>Peer</w:t>
      </w:r>
      <w:r w:rsidR="003453DC" w:rsidRPr="003453DC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3453DC" w:rsidRPr="003453DC">
        <w:rPr>
          <w:rFonts w:ascii="Times New Roman" w:hAnsi="Times New Roman" w:cs="Times New Roman"/>
          <w:bCs/>
          <w:sz w:val="20"/>
          <w:szCs w:val="20"/>
        </w:rPr>
        <w:t>to</w:t>
      </w:r>
      <w:r w:rsidR="003453DC" w:rsidRPr="003453DC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3453DC" w:rsidRPr="003453DC">
        <w:rPr>
          <w:rFonts w:ascii="Times New Roman" w:hAnsi="Times New Roman" w:cs="Times New Roman"/>
          <w:bCs/>
          <w:sz w:val="20"/>
          <w:szCs w:val="20"/>
        </w:rPr>
        <w:t>peer</w:t>
      </w:r>
      <w:r w:rsidR="003453DC" w:rsidRPr="003453D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453DC" w:rsidRPr="003453DC">
        <w:rPr>
          <w:rFonts w:ascii="Times New Roman" w:hAnsi="Times New Roman" w:cs="Times New Roman"/>
          <w:bCs/>
          <w:sz w:val="20"/>
          <w:szCs w:val="20"/>
        </w:rPr>
        <w:t>lenders</w:t>
      </w:r>
      <w:r w:rsidR="003453DC" w:rsidRPr="003453D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краудфандингові платформи.</w:t>
      </w:r>
      <w:r w:rsidR="00B31B08" w:rsidRPr="003453D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1167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Платформа </w:t>
      </w:r>
      <w:r w:rsidR="0021167A">
        <w:rPr>
          <w:rFonts w:ascii="Times New Roman" w:hAnsi="Times New Roman" w:cs="Times New Roman"/>
          <w:bCs/>
          <w:sz w:val="20"/>
          <w:szCs w:val="20"/>
        </w:rPr>
        <w:t>Kickstarter</w:t>
      </w:r>
      <w:r w:rsidR="0021167A" w:rsidRPr="00DA707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</w:p>
    <w:p w:rsidR="006F49F6" w:rsidRPr="009B7793" w:rsidRDefault="000C453C" w:rsidP="00AD54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Криптовалюти.</w:t>
      </w:r>
      <w:r w:rsid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Криптовалюта та наявність власного блокчейну. Монети та токени. Основні криптовалюти за капіталізацією. </w:t>
      </w:r>
      <w:r w:rsidR="009B7793" w:rsidRPr="009B7793">
        <w:rPr>
          <w:rFonts w:ascii="Times New Roman" w:hAnsi="Times New Roman" w:cs="Times New Roman"/>
          <w:bCs/>
          <w:sz w:val="20"/>
          <w:szCs w:val="20"/>
        </w:rPr>
        <w:t>Bitcoin</w:t>
      </w:r>
      <w:r w:rsidR="009B7793" w:rsidRP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9B7793" w:rsidRPr="009B7793">
        <w:rPr>
          <w:rFonts w:ascii="Times New Roman" w:hAnsi="Times New Roman" w:cs="Times New Roman"/>
          <w:bCs/>
          <w:sz w:val="20"/>
          <w:szCs w:val="20"/>
        </w:rPr>
        <w:t>Ethereum</w:t>
      </w:r>
      <w:r w:rsidR="009B7793" w:rsidRP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9B7793" w:rsidRPr="009B7793">
        <w:rPr>
          <w:rFonts w:ascii="Times New Roman" w:hAnsi="Times New Roman" w:cs="Times New Roman"/>
          <w:bCs/>
          <w:sz w:val="20"/>
          <w:szCs w:val="20"/>
        </w:rPr>
        <w:t>Tether</w:t>
      </w:r>
      <w:r w:rsidR="009B7793" w:rsidRP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Фактори </w:t>
      </w:r>
      <w:r w:rsid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впливу на динаміку криптовалют. Основні криптовалютні біржі. Сучасні тенденції розвитку ринку криптовалют. </w:t>
      </w:r>
      <w:r w:rsidR="00DE3612">
        <w:rPr>
          <w:rFonts w:ascii="Times New Roman" w:hAnsi="Times New Roman" w:cs="Times New Roman"/>
          <w:bCs/>
          <w:sz w:val="20"/>
          <w:szCs w:val="20"/>
          <w:lang w:val="uk-UA"/>
        </w:rPr>
        <w:t>Купівля-продаж криптовалюти. Ризики ринку криптовалют.</w:t>
      </w:r>
    </w:p>
    <w:p w:rsidR="006F49F6" w:rsidRPr="00BC4513" w:rsidRDefault="000C453C" w:rsidP="00AD54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Валюта та ринок FOREX. </w:t>
      </w:r>
      <w:r w:rsidR="00B21D0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Особливості ринку та основні валютні пари. </w:t>
      </w:r>
      <w:r w:rsidR="00BA24C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Торгові системи та роботи-боти для торгівлі на ринку. </w:t>
      </w:r>
      <w:r w:rsidR="00B21D04">
        <w:rPr>
          <w:rFonts w:ascii="Times New Roman" w:hAnsi="Times New Roman" w:cs="Times New Roman"/>
          <w:bCs/>
          <w:sz w:val="20"/>
          <w:szCs w:val="20"/>
          <w:lang w:val="uk-UA"/>
        </w:rPr>
        <w:t>Основи технічного аналізу.</w:t>
      </w:r>
    </w:p>
    <w:p w:rsidR="006F49F6" w:rsidRPr="00BC4513" w:rsidRDefault="000C453C" w:rsidP="00AD54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Cs/>
          <w:sz w:val="20"/>
          <w:szCs w:val="20"/>
          <w:lang w:val="uk-UA"/>
        </w:rPr>
        <w:t>Вибір брокера.</w:t>
      </w:r>
      <w:r w:rsidR="00EB112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Брокерські компанії в Україні. Порівняльний</w:t>
      </w:r>
      <w:r w:rsidR="009B77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аналіз тарифів, торгових інструментів, регуляторів та ринків, до яких надають доступ брокери. </w:t>
      </w:r>
      <w:r w:rsidR="00EB112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2D4A07" w:rsidRDefault="002D4A07" w:rsidP="00AD54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D4A07" w:rsidRDefault="002D4A07" w:rsidP="0080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074A2" w:rsidRDefault="008074A2" w:rsidP="0080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b/>
          <w:sz w:val="20"/>
          <w:szCs w:val="20"/>
          <w:lang w:val="uk-UA"/>
        </w:rPr>
        <w:t>Рекомендована література:</w:t>
      </w:r>
    </w:p>
    <w:p w:rsidR="000B4747" w:rsidRPr="00BC4513" w:rsidRDefault="000B4747" w:rsidP="0080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49F6" w:rsidRPr="00BC4513" w:rsidRDefault="000C453C" w:rsidP="000B47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Шефер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>. Шлях до фінансової свободи. Ваш перший мільйон за сім років. – Львів: Видавництво Старого Лева, 2021. – 344 с.</w:t>
      </w:r>
    </w:p>
    <w:p w:rsidR="006F49F6" w:rsidRPr="00BC4513" w:rsidRDefault="000C453C" w:rsidP="000B47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Фінансова грамотність. Фінанси. Що? Чому? Як?: навчальний посібник / </w:t>
      </w: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34D1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кол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.; – К., 2019. – 272 с. </w:t>
      </w:r>
    </w:p>
    <w:p w:rsidR="006F49F6" w:rsidRPr="00BC4513" w:rsidRDefault="000C453C" w:rsidP="000B47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Нікбахт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 Е., </w:t>
      </w: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Гроппеллі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 А. Фінанси. – К.: Основи, 1993. – 383 с. </w:t>
      </w:r>
    </w:p>
    <w:p w:rsidR="006F49F6" w:rsidRPr="00BC4513" w:rsidRDefault="000C453C" w:rsidP="000B47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Сохацька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 xml:space="preserve">  О.,  </w:t>
      </w:r>
      <w:proofErr w:type="spellStart"/>
      <w:r w:rsidRPr="00BC4513">
        <w:rPr>
          <w:rFonts w:ascii="Times New Roman" w:hAnsi="Times New Roman" w:cs="Times New Roman"/>
          <w:sz w:val="20"/>
          <w:szCs w:val="20"/>
          <w:lang w:val="uk-UA"/>
        </w:rPr>
        <w:t>Роговська</w:t>
      </w:r>
      <w:proofErr w:type="spellEnd"/>
      <w:r w:rsidRPr="00BC4513">
        <w:rPr>
          <w:rFonts w:ascii="Times New Roman" w:hAnsi="Times New Roman" w:cs="Times New Roman"/>
          <w:sz w:val="20"/>
          <w:szCs w:val="20"/>
          <w:lang w:val="uk-UA"/>
        </w:rPr>
        <w:t>-Іщук  І.,  Вінницький  С.  Фундаментальний  та  технічний аналіз цін товарних та фінансових ринків. — К.: Кондор, 2012. - 305 с.</w:t>
      </w:r>
    </w:p>
    <w:p w:rsidR="00E95989" w:rsidRPr="00BC4513" w:rsidRDefault="00E95989">
      <w:pPr>
        <w:rPr>
          <w:sz w:val="20"/>
          <w:szCs w:val="20"/>
          <w:lang w:val="uk-UA"/>
        </w:rPr>
      </w:pPr>
    </w:p>
    <w:sectPr w:rsidR="00E95989" w:rsidRPr="00BC4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C52"/>
    <w:multiLevelType w:val="hybridMultilevel"/>
    <w:tmpl w:val="6770B194"/>
    <w:lvl w:ilvl="0" w:tplc="0CB61B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8465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2C5B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6CFA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6087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CD7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09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C4A0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909B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1A7E33"/>
    <w:multiLevelType w:val="hybridMultilevel"/>
    <w:tmpl w:val="626C45E8"/>
    <w:lvl w:ilvl="0" w:tplc="51081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C9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61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47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CF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4D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8701B"/>
    <w:multiLevelType w:val="hybridMultilevel"/>
    <w:tmpl w:val="FBF45DC0"/>
    <w:lvl w:ilvl="0" w:tplc="13F2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05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4E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0D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4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A3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24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A200E"/>
    <w:multiLevelType w:val="hybridMultilevel"/>
    <w:tmpl w:val="D0B66BD2"/>
    <w:lvl w:ilvl="0" w:tplc="B0B6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B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CF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C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22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4D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2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E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00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06D7E"/>
    <w:multiLevelType w:val="hybridMultilevel"/>
    <w:tmpl w:val="9BF6BAB8"/>
    <w:lvl w:ilvl="0" w:tplc="A54C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4D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26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E7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87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CD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63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6A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A2"/>
    <w:rsid w:val="000A64CA"/>
    <w:rsid w:val="000B4747"/>
    <w:rsid w:val="000C453C"/>
    <w:rsid w:val="00131400"/>
    <w:rsid w:val="0017526F"/>
    <w:rsid w:val="001A2EF5"/>
    <w:rsid w:val="0021167A"/>
    <w:rsid w:val="00260879"/>
    <w:rsid w:val="002D4A07"/>
    <w:rsid w:val="002E4CD2"/>
    <w:rsid w:val="003453DC"/>
    <w:rsid w:val="00383DA2"/>
    <w:rsid w:val="00434D1E"/>
    <w:rsid w:val="00454536"/>
    <w:rsid w:val="004D7B5E"/>
    <w:rsid w:val="004E0495"/>
    <w:rsid w:val="005A2D75"/>
    <w:rsid w:val="005D57E0"/>
    <w:rsid w:val="00611CA2"/>
    <w:rsid w:val="006F49F6"/>
    <w:rsid w:val="007066B1"/>
    <w:rsid w:val="008074A2"/>
    <w:rsid w:val="0086194C"/>
    <w:rsid w:val="008C02C2"/>
    <w:rsid w:val="009B7793"/>
    <w:rsid w:val="00A049AE"/>
    <w:rsid w:val="00A272DA"/>
    <w:rsid w:val="00A34D86"/>
    <w:rsid w:val="00AC4DCE"/>
    <w:rsid w:val="00AD5465"/>
    <w:rsid w:val="00B21D04"/>
    <w:rsid w:val="00B31B08"/>
    <w:rsid w:val="00B66A69"/>
    <w:rsid w:val="00B70D39"/>
    <w:rsid w:val="00BA24CC"/>
    <w:rsid w:val="00BA2E94"/>
    <w:rsid w:val="00BB0F0E"/>
    <w:rsid w:val="00BC4513"/>
    <w:rsid w:val="00C10974"/>
    <w:rsid w:val="00C11F1B"/>
    <w:rsid w:val="00D22844"/>
    <w:rsid w:val="00DA7075"/>
    <w:rsid w:val="00DE3612"/>
    <w:rsid w:val="00E45809"/>
    <w:rsid w:val="00E81B0C"/>
    <w:rsid w:val="00E95989"/>
    <w:rsid w:val="00EB112D"/>
    <w:rsid w:val="00E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6CB"/>
  <w15:chartTrackingRefBased/>
  <w15:docId w15:val="{D07C96DE-6474-445A-8252-A0B6C22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3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70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33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11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05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1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02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034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6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42</cp:revision>
  <dcterms:created xsi:type="dcterms:W3CDTF">2023-02-16T06:45:00Z</dcterms:created>
  <dcterms:modified xsi:type="dcterms:W3CDTF">2023-02-17T05:12:00Z</dcterms:modified>
</cp:coreProperties>
</file>