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E0B" w:rsidRPr="00A06500" w:rsidRDefault="008D0E0B" w:rsidP="002D6790">
      <w:pPr>
        <w:spacing w:line="360" w:lineRule="auto"/>
        <w:jc w:val="center"/>
        <w:rPr>
          <w:rFonts w:asciiTheme="minorHAnsi" w:hAnsiTheme="minorHAnsi" w:cstheme="minorHAnsi"/>
          <w:color w:val="000000"/>
          <w:lang w:val="uk-UA" w:eastAsia="ru-RU"/>
        </w:rPr>
      </w:pPr>
      <w:r w:rsidRPr="00A06500">
        <w:rPr>
          <w:rFonts w:asciiTheme="minorHAnsi" w:hAnsiTheme="minorHAnsi" w:cstheme="minorHAnsi"/>
          <w:color w:val="000000"/>
          <w:lang w:val="uk-UA" w:eastAsia="ru-RU"/>
        </w:rPr>
        <w:t>МІНІСТЕРСТВО ОСВІТИ І НАУКИ УКРАЇНИ</w:t>
      </w:r>
    </w:p>
    <w:p w:rsidR="008D0E0B" w:rsidRPr="00A06500" w:rsidRDefault="008D0E0B" w:rsidP="002D6790">
      <w:pPr>
        <w:spacing w:line="360" w:lineRule="auto"/>
        <w:jc w:val="center"/>
        <w:rPr>
          <w:rFonts w:asciiTheme="minorHAnsi" w:hAnsiTheme="minorHAnsi" w:cstheme="minorHAnsi"/>
          <w:lang w:val="uk-UA" w:eastAsia="ru-RU"/>
        </w:rPr>
      </w:pPr>
      <w:r w:rsidRPr="00A06500">
        <w:rPr>
          <w:rFonts w:asciiTheme="minorHAnsi" w:hAnsiTheme="minorHAnsi" w:cstheme="minorHAnsi"/>
          <w:lang w:val="uk-UA" w:eastAsia="ru-RU"/>
        </w:rPr>
        <w:t>Львівський національний університет імені Івана Франка</w:t>
      </w:r>
    </w:p>
    <w:p w:rsidR="008D0E0B" w:rsidRPr="00A06500" w:rsidRDefault="008D0E0B" w:rsidP="002D6790">
      <w:pPr>
        <w:spacing w:line="360" w:lineRule="auto"/>
        <w:jc w:val="center"/>
        <w:rPr>
          <w:rFonts w:asciiTheme="minorHAnsi" w:hAnsiTheme="minorHAnsi" w:cstheme="minorHAnsi"/>
          <w:lang w:val="uk-UA" w:eastAsia="ru-RU"/>
        </w:rPr>
      </w:pPr>
    </w:p>
    <w:p w:rsidR="008D0E0B" w:rsidRPr="00A06500" w:rsidRDefault="008D0E0B" w:rsidP="002D6790">
      <w:pPr>
        <w:spacing w:line="360" w:lineRule="auto"/>
        <w:jc w:val="center"/>
        <w:rPr>
          <w:rFonts w:asciiTheme="minorHAnsi" w:hAnsiTheme="minorHAnsi" w:cstheme="minorHAnsi"/>
          <w:lang w:val="uk-UA" w:eastAsia="ru-RU"/>
        </w:rPr>
      </w:pPr>
    </w:p>
    <w:p w:rsidR="008D0E0B" w:rsidRPr="00A06500" w:rsidRDefault="008D0E0B" w:rsidP="002D6790">
      <w:pPr>
        <w:spacing w:line="360" w:lineRule="auto"/>
        <w:jc w:val="center"/>
        <w:rPr>
          <w:rFonts w:asciiTheme="minorHAnsi" w:hAnsiTheme="minorHAnsi" w:cstheme="minorHAnsi"/>
          <w:lang w:val="uk-UA" w:eastAsia="ru-RU"/>
        </w:rPr>
      </w:pPr>
    </w:p>
    <w:p w:rsidR="008D0E0B" w:rsidRPr="00A06500" w:rsidRDefault="008D0E0B" w:rsidP="002D6790">
      <w:pPr>
        <w:spacing w:line="360" w:lineRule="auto"/>
        <w:jc w:val="center"/>
        <w:rPr>
          <w:rFonts w:asciiTheme="minorHAnsi" w:hAnsiTheme="minorHAnsi" w:cstheme="minorHAnsi"/>
          <w:lang w:val="uk-UA" w:eastAsia="ru-RU"/>
        </w:rPr>
      </w:pPr>
    </w:p>
    <w:p w:rsidR="008D0E0B" w:rsidRPr="00A06500" w:rsidRDefault="008D0E0B" w:rsidP="002D6790">
      <w:pPr>
        <w:spacing w:line="360" w:lineRule="auto"/>
        <w:jc w:val="center"/>
        <w:rPr>
          <w:rFonts w:asciiTheme="minorHAnsi" w:hAnsiTheme="minorHAnsi" w:cstheme="minorHAnsi"/>
          <w:lang w:val="uk-UA" w:eastAsia="ru-RU"/>
        </w:rPr>
      </w:pPr>
    </w:p>
    <w:p w:rsidR="008D0E0B" w:rsidRPr="00A06500" w:rsidRDefault="008D0E0B" w:rsidP="002D6790">
      <w:pPr>
        <w:spacing w:line="360" w:lineRule="auto"/>
        <w:jc w:val="center"/>
        <w:rPr>
          <w:rFonts w:asciiTheme="minorHAnsi" w:hAnsiTheme="minorHAnsi" w:cstheme="minorHAnsi"/>
          <w:lang w:val="uk-UA" w:eastAsia="ru-RU"/>
        </w:rPr>
      </w:pPr>
    </w:p>
    <w:p w:rsidR="008D0E0B" w:rsidRPr="00A06500" w:rsidRDefault="008D0E0B" w:rsidP="002D6790">
      <w:pPr>
        <w:spacing w:line="360" w:lineRule="auto"/>
        <w:jc w:val="center"/>
        <w:rPr>
          <w:rFonts w:asciiTheme="minorHAnsi" w:hAnsiTheme="minorHAnsi" w:cstheme="minorHAnsi"/>
          <w:lang w:val="uk-UA" w:eastAsia="ru-RU"/>
        </w:rPr>
      </w:pPr>
    </w:p>
    <w:p w:rsidR="008D0E0B" w:rsidRPr="00A06500" w:rsidRDefault="008D0E0B" w:rsidP="002D6790">
      <w:pPr>
        <w:spacing w:line="360" w:lineRule="auto"/>
        <w:jc w:val="center"/>
        <w:rPr>
          <w:rFonts w:asciiTheme="minorHAnsi" w:hAnsiTheme="minorHAnsi" w:cstheme="minorHAnsi"/>
          <w:color w:val="000000"/>
          <w:lang w:val="uk-UA" w:eastAsia="ru-RU"/>
        </w:rPr>
      </w:pPr>
      <w:r w:rsidRPr="00A06500">
        <w:rPr>
          <w:rFonts w:asciiTheme="minorHAnsi" w:hAnsiTheme="minorHAnsi" w:cstheme="minorHAnsi"/>
          <w:color w:val="000000"/>
          <w:lang w:val="uk-UA" w:eastAsia="ru-RU"/>
        </w:rPr>
        <w:t>ОСВІТНЬО - ПРОФЕСІЙНА ПРОГРАМА</w:t>
      </w:r>
    </w:p>
    <w:p w:rsidR="008D0E0B" w:rsidRPr="00A06500" w:rsidRDefault="008D0E0B" w:rsidP="002D6790">
      <w:pPr>
        <w:spacing w:line="360" w:lineRule="auto"/>
        <w:jc w:val="center"/>
        <w:rPr>
          <w:rFonts w:asciiTheme="minorHAnsi" w:hAnsiTheme="minorHAnsi" w:cstheme="minorHAnsi"/>
          <w:b/>
          <w:bCs/>
          <w:color w:val="000000"/>
          <w:lang w:val="uk-UA" w:eastAsia="ru-RU"/>
        </w:rPr>
      </w:pPr>
      <w:r w:rsidRPr="00A06500">
        <w:rPr>
          <w:rFonts w:asciiTheme="minorHAnsi" w:hAnsiTheme="minorHAnsi" w:cstheme="minorHAnsi"/>
          <w:b/>
          <w:bCs/>
          <w:color w:val="000000"/>
          <w:u w:val="single"/>
          <w:lang w:val="uk-UA" w:eastAsia="ru-RU"/>
        </w:rPr>
        <w:t>«</w:t>
      </w:r>
      <w:r w:rsidR="00456319" w:rsidRPr="00A06500">
        <w:rPr>
          <w:rFonts w:asciiTheme="minorHAnsi" w:hAnsiTheme="minorHAnsi" w:cstheme="minorHAnsi"/>
          <w:b/>
          <w:bCs/>
          <w:color w:val="000000"/>
          <w:u w:val="single"/>
          <w:lang w:val="uk-UA" w:eastAsia="ru-RU"/>
        </w:rPr>
        <w:t>Європейське місцеве та регіональне врядування</w:t>
      </w:r>
      <w:r w:rsidRPr="00A06500">
        <w:rPr>
          <w:rFonts w:asciiTheme="minorHAnsi" w:hAnsiTheme="minorHAnsi" w:cstheme="minorHAnsi"/>
          <w:b/>
          <w:bCs/>
          <w:color w:val="000000"/>
          <w:u w:val="single"/>
          <w:lang w:val="uk-UA" w:eastAsia="ru-RU"/>
        </w:rPr>
        <w:t>»</w:t>
      </w:r>
    </w:p>
    <w:p w:rsidR="008D0E0B" w:rsidRPr="00A06500" w:rsidRDefault="008D0E0B" w:rsidP="002D6790">
      <w:pPr>
        <w:spacing w:line="360" w:lineRule="auto"/>
        <w:jc w:val="center"/>
        <w:rPr>
          <w:rFonts w:asciiTheme="minorHAnsi" w:hAnsiTheme="minorHAnsi" w:cstheme="minorHAnsi"/>
          <w:color w:val="000000"/>
          <w:lang w:val="uk-UA" w:eastAsia="ru-RU"/>
        </w:rPr>
      </w:pPr>
      <w:r w:rsidRPr="00A06500">
        <w:rPr>
          <w:rFonts w:asciiTheme="minorHAnsi" w:hAnsiTheme="minorHAnsi" w:cstheme="minorHAnsi"/>
          <w:color w:val="000000"/>
          <w:lang w:val="uk-UA" w:eastAsia="ru-RU"/>
        </w:rPr>
        <w:t xml:space="preserve">Другого (магістерського) рівня вищої освіти </w:t>
      </w:r>
    </w:p>
    <w:p w:rsidR="008D0E0B" w:rsidRPr="00A06500" w:rsidRDefault="008D0E0B" w:rsidP="002D6790">
      <w:pPr>
        <w:spacing w:line="360" w:lineRule="auto"/>
        <w:jc w:val="center"/>
        <w:rPr>
          <w:rFonts w:asciiTheme="minorHAnsi" w:hAnsiTheme="minorHAnsi" w:cstheme="minorHAnsi"/>
          <w:color w:val="000000"/>
          <w:u w:val="single"/>
          <w:lang w:val="uk-UA" w:eastAsia="ru-RU"/>
        </w:rPr>
      </w:pPr>
      <w:r w:rsidRPr="00A06500">
        <w:rPr>
          <w:rFonts w:asciiTheme="minorHAnsi" w:hAnsiTheme="minorHAnsi" w:cstheme="minorHAnsi"/>
          <w:color w:val="000000"/>
          <w:lang w:val="uk-UA" w:eastAsia="ru-RU"/>
        </w:rPr>
        <w:t xml:space="preserve">за спеціальністю </w:t>
      </w:r>
      <w:r w:rsidRPr="00A06500">
        <w:rPr>
          <w:rFonts w:asciiTheme="minorHAnsi" w:hAnsiTheme="minorHAnsi" w:cstheme="minorHAnsi"/>
          <w:i/>
          <w:color w:val="000000"/>
          <w:u w:val="single"/>
          <w:lang w:val="uk-UA" w:eastAsia="ru-RU"/>
        </w:rPr>
        <w:t>№ 29</w:t>
      </w:r>
      <w:r w:rsidR="00E74F55" w:rsidRPr="00A06500">
        <w:rPr>
          <w:rFonts w:asciiTheme="minorHAnsi" w:hAnsiTheme="minorHAnsi" w:cstheme="minorHAnsi"/>
          <w:i/>
          <w:color w:val="000000"/>
          <w:u w:val="single"/>
          <w:lang w:val="uk-UA" w:eastAsia="ru-RU"/>
        </w:rPr>
        <w:t>1</w:t>
      </w:r>
      <w:r w:rsidRPr="00A06500">
        <w:rPr>
          <w:rFonts w:asciiTheme="minorHAnsi" w:hAnsiTheme="minorHAnsi" w:cstheme="minorHAnsi"/>
          <w:i/>
          <w:color w:val="000000"/>
          <w:u w:val="single"/>
          <w:lang w:val="uk-UA" w:eastAsia="ru-RU"/>
        </w:rPr>
        <w:t xml:space="preserve"> </w:t>
      </w:r>
      <w:r w:rsidR="00E74F55" w:rsidRPr="00A06500">
        <w:rPr>
          <w:rFonts w:asciiTheme="minorHAnsi" w:hAnsiTheme="minorHAnsi" w:cstheme="minorHAnsi"/>
          <w:i/>
          <w:color w:val="000000"/>
          <w:u w:val="single"/>
          <w:lang w:val="uk-UA" w:eastAsia="ru-RU"/>
        </w:rPr>
        <w:t>Міжнародні відносини, суспільні комунікації та регіональні студії</w:t>
      </w:r>
    </w:p>
    <w:p w:rsidR="008D0E0B" w:rsidRPr="00A06500" w:rsidRDefault="008D0E0B" w:rsidP="002D6790">
      <w:pPr>
        <w:spacing w:line="360" w:lineRule="auto"/>
        <w:jc w:val="center"/>
        <w:rPr>
          <w:rFonts w:asciiTheme="minorHAnsi" w:hAnsiTheme="minorHAnsi" w:cstheme="minorHAnsi"/>
          <w:color w:val="000000"/>
          <w:u w:val="single"/>
          <w:lang w:val="uk-UA" w:eastAsia="ru-RU"/>
        </w:rPr>
      </w:pPr>
      <w:r w:rsidRPr="00A06500">
        <w:rPr>
          <w:rFonts w:asciiTheme="minorHAnsi" w:hAnsiTheme="minorHAnsi" w:cstheme="minorHAnsi"/>
          <w:color w:val="000000"/>
          <w:lang w:val="uk-UA" w:eastAsia="ru-RU"/>
        </w:rPr>
        <w:t xml:space="preserve">галузі знань </w:t>
      </w:r>
      <w:r w:rsidRPr="00A06500">
        <w:rPr>
          <w:rFonts w:asciiTheme="minorHAnsi" w:hAnsiTheme="minorHAnsi" w:cstheme="minorHAnsi"/>
          <w:i/>
          <w:color w:val="000000"/>
          <w:u w:val="single"/>
          <w:lang w:val="uk-UA" w:eastAsia="ru-RU"/>
        </w:rPr>
        <w:t>№ 29 міжнародні відносини</w:t>
      </w:r>
    </w:p>
    <w:p w:rsidR="008D0E0B" w:rsidRPr="00A06500" w:rsidRDefault="008D0E0B" w:rsidP="00456319">
      <w:pPr>
        <w:spacing w:line="360" w:lineRule="auto"/>
        <w:rPr>
          <w:rFonts w:asciiTheme="minorHAnsi" w:hAnsiTheme="minorHAnsi" w:cstheme="minorHAnsi"/>
          <w:bCs/>
          <w:i/>
          <w:color w:val="000000"/>
          <w:u w:val="single"/>
          <w:lang w:val="uk-UA" w:eastAsia="ru-RU"/>
        </w:rPr>
      </w:pPr>
      <w:r w:rsidRPr="00A06500">
        <w:rPr>
          <w:rFonts w:asciiTheme="minorHAnsi" w:hAnsiTheme="minorHAnsi" w:cstheme="minorHAnsi"/>
          <w:color w:val="000000"/>
          <w:lang w:val="uk-UA" w:eastAsia="ru-RU"/>
        </w:rPr>
        <w:t>Кваліфікація</w:t>
      </w:r>
      <w:r w:rsidRPr="00A06500">
        <w:rPr>
          <w:rFonts w:asciiTheme="minorHAnsi" w:hAnsiTheme="minorHAnsi" w:cstheme="minorHAnsi"/>
          <w:b/>
          <w:bCs/>
          <w:color w:val="000000"/>
          <w:lang w:val="uk-UA" w:eastAsia="ru-RU"/>
        </w:rPr>
        <w:t xml:space="preserve">: </w:t>
      </w:r>
      <w:r w:rsidR="00456319" w:rsidRPr="00A06500">
        <w:rPr>
          <w:rFonts w:asciiTheme="minorHAnsi" w:hAnsiTheme="minorHAnsi" w:cstheme="minorHAnsi"/>
          <w:bCs/>
          <w:i/>
          <w:color w:val="000000"/>
          <w:u w:val="single"/>
          <w:lang w:val="uk-UA" w:eastAsia="ru-RU"/>
        </w:rPr>
        <w:t xml:space="preserve">Магістр з міжнародних відносин. Спеціалізація: </w:t>
      </w:r>
      <w:r w:rsidR="00E74F55" w:rsidRPr="00A06500">
        <w:rPr>
          <w:rFonts w:asciiTheme="minorHAnsi" w:hAnsiTheme="minorHAnsi" w:cstheme="minorHAnsi"/>
          <w:bCs/>
          <w:i/>
          <w:color w:val="000000"/>
          <w:u w:val="single"/>
          <w:lang w:val="uk-UA" w:eastAsia="ru-RU"/>
        </w:rPr>
        <w:t>Європейське місцеве та регіональне вр</w:t>
      </w:r>
      <w:r w:rsidR="00456319" w:rsidRPr="00A06500">
        <w:rPr>
          <w:rFonts w:asciiTheme="minorHAnsi" w:hAnsiTheme="minorHAnsi" w:cstheme="minorHAnsi"/>
          <w:bCs/>
          <w:i/>
          <w:color w:val="000000"/>
          <w:u w:val="single"/>
          <w:lang w:val="uk-UA" w:eastAsia="ru-RU"/>
        </w:rPr>
        <w:t>ядування.</w:t>
      </w:r>
      <w:r w:rsidR="00E74F55" w:rsidRPr="00A06500">
        <w:rPr>
          <w:rFonts w:asciiTheme="minorHAnsi" w:hAnsiTheme="minorHAnsi" w:cstheme="minorHAnsi"/>
          <w:bCs/>
          <w:i/>
          <w:color w:val="000000"/>
          <w:u w:val="single"/>
          <w:lang w:val="uk-UA" w:eastAsia="ru-RU"/>
        </w:rPr>
        <w:t xml:space="preserve"> Перекладач.</w:t>
      </w:r>
    </w:p>
    <w:p w:rsidR="008D0E0B" w:rsidRPr="00A06500" w:rsidRDefault="008D0E0B" w:rsidP="002D6790">
      <w:pPr>
        <w:spacing w:line="360" w:lineRule="auto"/>
        <w:jc w:val="center"/>
        <w:rPr>
          <w:rFonts w:asciiTheme="minorHAnsi" w:hAnsiTheme="minorHAnsi" w:cstheme="minorHAnsi"/>
          <w:color w:val="000000"/>
          <w:u w:val="single"/>
          <w:lang w:val="uk-UA" w:eastAsia="ru-RU"/>
        </w:rPr>
      </w:pPr>
    </w:p>
    <w:p w:rsidR="008D0E0B" w:rsidRPr="00A06500" w:rsidRDefault="008D0E0B" w:rsidP="002D6790">
      <w:pPr>
        <w:spacing w:line="360" w:lineRule="auto"/>
        <w:jc w:val="center"/>
        <w:rPr>
          <w:rFonts w:asciiTheme="minorHAnsi" w:hAnsiTheme="minorHAnsi" w:cstheme="minorHAnsi"/>
          <w:color w:val="000000"/>
          <w:u w:val="single"/>
          <w:lang w:val="uk-UA" w:eastAsia="ru-RU"/>
        </w:rPr>
      </w:pPr>
    </w:p>
    <w:p w:rsidR="008D0E0B" w:rsidRPr="00A06500" w:rsidRDefault="008D0E0B" w:rsidP="002D6790">
      <w:pPr>
        <w:spacing w:line="360" w:lineRule="auto"/>
        <w:jc w:val="right"/>
        <w:rPr>
          <w:rFonts w:asciiTheme="minorHAnsi" w:hAnsiTheme="minorHAnsi" w:cstheme="minorHAnsi"/>
          <w:b/>
          <w:bCs/>
          <w:color w:val="000000"/>
          <w:u w:val="single"/>
          <w:lang w:val="uk-UA" w:eastAsia="ru-RU"/>
        </w:rPr>
      </w:pPr>
      <w:r w:rsidRPr="00A06500">
        <w:rPr>
          <w:rFonts w:asciiTheme="minorHAnsi" w:hAnsiTheme="minorHAnsi" w:cstheme="minorHAnsi"/>
          <w:b/>
          <w:bCs/>
          <w:color w:val="000000"/>
          <w:lang w:val="uk-UA" w:eastAsia="ru-RU"/>
        </w:rPr>
        <w:t>ЗАТВЕРДЖЕНО ВЧЕНОЮ</w:t>
      </w:r>
      <w:r w:rsidR="00E74F55" w:rsidRPr="00A06500">
        <w:rPr>
          <w:rFonts w:asciiTheme="minorHAnsi" w:hAnsiTheme="minorHAnsi" w:cstheme="minorHAnsi"/>
          <w:b/>
          <w:bCs/>
          <w:color w:val="000000"/>
          <w:lang w:val="uk-UA" w:eastAsia="ru-RU"/>
        </w:rPr>
        <w:t xml:space="preserve"> </w:t>
      </w:r>
      <w:r w:rsidRPr="00A06500">
        <w:rPr>
          <w:rFonts w:asciiTheme="minorHAnsi" w:hAnsiTheme="minorHAnsi" w:cstheme="minorHAnsi"/>
          <w:b/>
          <w:bCs/>
          <w:color w:val="000000"/>
          <w:lang w:val="uk-UA" w:eastAsia="ru-RU"/>
        </w:rPr>
        <w:t xml:space="preserve">РАДОЮ </w:t>
      </w:r>
    </w:p>
    <w:p w:rsidR="008D0E0B" w:rsidRPr="00A06500" w:rsidRDefault="008D0E0B" w:rsidP="002D6790">
      <w:pPr>
        <w:spacing w:line="360" w:lineRule="auto"/>
        <w:jc w:val="right"/>
        <w:rPr>
          <w:rFonts w:asciiTheme="minorHAnsi" w:hAnsiTheme="minorHAnsi" w:cstheme="minorHAnsi"/>
          <w:b/>
          <w:bCs/>
          <w:color w:val="000000"/>
          <w:u w:val="single"/>
          <w:lang w:val="uk-UA" w:eastAsia="ru-RU"/>
        </w:rPr>
      </w:pPr>
      <w:r w:rsidRPr="00A06500">
        <w:rPr>
          <w:rFonts w:asciiTheme="minorHAnsi" w:hAnsiTheme="minorHAnsi" w:cstheme="minorHAnsi"/>
          <w:b/>
          <w:bCs/>
          <w:color w:val="000000"/>
          <w:lang w:val="uk-UA" w:eastAsia="ru-RU"/>
        </w:rPr>
        <w:t>Голова вченої ради</w:t>
      </w:r>
    </w:p>
    <w:p w:rsidR="008D0E0B" w:rsidRPr="00A06500" w:rsidRDefault="008D0E0B" w:rsidP="002D6790">
      <w:pPr>
        <w:shd w:val="clear" w:color="auto" w:fill="FFFFFF"/>
        <w:spacing w:line="360" w:lineRule="auto"/>
        <w:jc w:val="right"/>
        <w:rPr>
          <w:rFonts w:asciiTheme="minorHAnsi" w:hAnsiTheme="minorHAnsi" w:cstheme="minorHAnsi"/>
          <w:b/>
          <w:bCs/>
          <w:color w:val="000000"/>
          <w:lang w:val="uk-UA" w:eastAsia="ru-RU"/>
        </w:rPr>
      </w:pPr>
      <w:r w:rsidRPr="00A06500">
        <w:rPr>
          <w:rFonts w:asciiTheme="minorHAnsi" w:hAnsiTheme="minorHAnsi" w:cstheme="minorHAnsi"/>
          <w:b/>
          <w:bCs/>
          <w:color w:val="000000"/>
          <w:lang w:val="uk-UA" w:eastAsia="ru-RU"/>
        </w:rPr>
        <w:t>___________   /_______________/</w:t>
      </w:r>
    </w:p>
    <w:p w:rsidR="008D0E0B" w:rsidRPr="00A06500" w:rsidRDefault="008D0E0B" w:rsidP="002D6790">
      <w:pPr>
        <w:spacing w:line="360" w:lineRule="auto"/>
        <w:jc w:val="right"/>
        <w:rPr>
          <w:rFonts w:asciiTheme="minorHAnsi" w:hAnsiTheme="minorHAnsi" w:cstheme="minorHAnsi"/>
          <w:color w:val="000000"/>
          <w:lang w:val="uk-UA" w:eastAsia="ru-RU"/>
        </w:rPr>
      </w:pPr>
      <w:r w:rsidRPr="00A06500">
        <w:rPr>
          <w:rFonts w:asciiTheme="minorHAnsi" w:hAnsiTheme="minorHAnsi" w:cstheme="minorHAnsi"/>
          <w:color w:val="000000"/>
          <w:lang w:val="uk-UA" w:eastAsia="ru-RU"/>
        </w:rPr>
        <w:t>протокол №___________від «___» __________ 2018 р.</w:t>
      </w:r>
    </w:p>
    <w:p w:rsidR="008D0E0B" w:rsidRPr="00A06500" w:rsidRDefault="008D0E0B" w:rsidP="002D6790">
      <w:pPr>
        <w:spacing w:line="360" w:lineRule="auto"/>
        <w:jc w:val="right"/>
        <w:rPr>
          <w:rFonts w:asciiTheme="minorHAnsi" w:hAnsiTheme="minorHAnsi" w:cstheme="minorHAnsi"/>
          <w:color w:val="000000"/>
          <w:u w:val="single"/>
          <w:lang w:val="uk-UA" w:eastAsia="ru-RU"/>
        </w:rPr>
      </w:pPr>
      <w:r w:rsidRPr="00A06500">
        <w:rPr>
          <w:rFonts w:asciiTheme="minorHAnsi" w:hAnsiTheme="minorHAnsi" w:cstheme="minorHAnsi"/>
          <w:color w:val="000000"/>
          <w:lang w:val="uk-UA" w:eastAsia="ru-RU"/>
        </w:rPr>
        <w:t>Освітня програма вводиться в дію з__________</w:t>
      </w:r>
      <w:r w:rsidRPr="00A06500">
        <w:rPr>
          <w:rFonts w:asciiTheme="minorHAnsi" w:hAnsiTheme="minorHAnsi" w:cstheme="minorHAnsi"/>
          <w:color w:val="000000"/>
          <w:u w:val="single"/>
          <w:lang w:val="uk-UA" w:eastAsia="ru-RU"/>
        </w:rPr>
        <w:t xml:space="preserve"> 2018 р.</w:t>
      </w:r>
    </w:p>
    <w:p w:rsidR="008D0E0B" w:rsidRPr="00A06500" w:rsidRDefault="008D0E0B" w:rsidP="002D6790">
      <w:pPr>
        <w:spacing w:line="360" w:lineRule="auto"/>
        <w:jc w:val="right"/>
        <w:rPr>
          <w:rFonts w:asciiTheme="minorHAnsi" w:hAnsiTheme="minorHAnsi" w:cstheme="minorHAnsi"/>
          <w:color w:val="000000"/>
          <w:u w:val="single"/>
          <w:lang w:val="uk-UA" w:eastAsia="ru-RU"/>
        </w:rPr>
      </w:pPr>
      <w:r w:rsidRPr="00A06500">
        <w:rPr>
          <w:rFonts w:asciiTheme="minorHAnsi" w:hAnsiTheme="minorHAnsi" w:cstheme="minorHAnsi"/>
          <w:color w:val="000000"/>
          <w:lang w:val="uk-UA" w:eastAsia="ru-RU"/>
        </w:rPr>
        <w:t>Ректор___________/_______________/</w:t>
      </w:r>
    </w:p>
    <w:p w:rsidR="008D0E0B" w:rsidRPr="00A06500" w:rsidRDefault="008D0E0B" w:rsidP="002D6790">
      <w:pPr>
        <w:spacing w:line="360" w:lineRule="auto"/>
        <w:jc w:val="right"/>
        <w:rPr>
          <w:rFonts w:asciiTheme="minorHAnsi" w:hAnsiTheme="minorHAnsi" w:cstheme="minorHAnsi"/>
          <w:color w:val="000000"/>
          <w:lang w:val="uk-UA" w:eastAsia="ru-RU"/>
        </w:rPr>
      </w:pPr>
      <w:r w:rsidRPr="00A06500">
        <w:rPr>
          <w:rFonts w:asciiTheme="minorHAnsi" w:hAnsiTheme="minorHAnsi" w:cstheme="minorHAnsi"/>
          <w:color w:val="000000"/>
          <w:lang w:val="uk-UA" w:eastAsia="ru-RU"/>
        </w:rPr>
        <w:t>(наказ №____________від</w:t>
      </w:r>
      <w:r w:rsidR="00D719CC" w:rsidRPr="00A06500">
        <w:rPr>
          <w:rFonts w:asciiTheme="minorHAnsi" w:hAnsiTheme="minorHAnsi" w:cstheme="minorHAnsi"/>
          <w:color w:val="000000"/>
          <w:lang w:val="uk-UA" w:eastAsia="ru-RU"/>
        </w:rPr>
        <w:t xml:space="preserve"> </w:t>
      </w:r>
      <w:r w:rsidRPr="00A06500">
        <w:rPr>
          <w:rFonts w:asciiTheme="minorHAnsi" w:hAnsiTheme="minorHAnsi" w:cstheme="minorHAnsi"/>
          <w:color w:val="000000"/>
          <w:lang w:val="uk-UA" w:eastAsia="ru-RU"/>
        </w:rPr>
        <w:t>«___»</w:t>
      </w:r>
      <w:r w:rsidR="00D719CC" w:rsidRPr="00A06500">
        <w:rPr>
          <w:rFonts w:asciiTheme="minorHAnsi" w:hAnsiTheme="minorHAnsi" w:cstheme="minorHAnsi"/>
          <w:color w:val="000000"/>
          <w:lang w:val="uk-UA" w:eastAsia="ru-RU"/>
        </w:rPr>
        <w:t xml:space="preserve"> </w:t>
      </w:r>
      <w:r w:rsidRPr="00A06500">
        <w:rPr>
          <w:rFonts w:asciiTheme="minorHAnsi" w:hAnsiTheme="minorHAnsi" w:cstheme="minorHAnsi"/>
          <w:color w:val="000000"/>
          <w:lang w:val="uk-UA" w:eastAsia="ru-RU"/>
        </w:rPr>
        <w:t xml:space="preserve"> __________ 2018 р.</w:t>
      </w:r>
      <w:r w:rsidRPr="00A06500">
        <w:rPr>
          <w:rFonts w:asciiTheme="minorHAnsi" w:hAnsiTheme="minorHAnsi" w:cstheme="minorHAnsi"/>
          <w:color w:val="000000"/>
          <w:u w:val="single"/>
          <w:lang w:val="uk-UA" w:eastAsia="ru-RU"/>
        </w:rPr>
        <w:t>)</w:t>
      </w:r>
    </w:p>
    <w:p w:rsidR="008D0E0B" w:rsidRPr="00A06500" w:rsidRDefault="008D0E0B" w:rsidP="002D6790">
      <w:pPr>
        <w:spacing w:line="360" w:lineRule="auto"/>
        <w:jc w:val="center"/>
        <w:rPr>
          <w:rFonts w:asciiTheme="minorHAnsi" w:hAnsiTheme="minorHAnsi" w:cstheme="minorHAnsi"/>
          <w:color w:val="000000"/>
          <w:u w:val="single"/>
          <w:lang w:val="uk-UA" w:eastAsia="ru-RU"/>
        </w:rPr>
      </w:pPr>
    </w:p>
    <w:p w:rsidR="008D0E0B" w:rsidRPr="00A06500" w:rsidRDefault="008D0E0B" w:rsidP="002D6790">
      <w:pPr>
        <w:spacing w:line="360" w:lineRule="auto"/>
        <w:jc w:val="center"/>
        <w:rPr>
          <w:rFonts w:asciiTheme="minorHAnsi" w:hAnsiTheme="minorHAnsi" w:cstheme="minorHAnsi"/>
          <w:color w:val="000000"/>
          <w:u w:val="single"/>
          <w:lang w:val="uk-UA" w:eastAsia="ru-RU"/>
        </w:rPr>
      </w:pPr>
    </w:p>
    <w:p w:rsidR="008D0E0B" w:rsidRPr="00A06500" w:rsidRDefault="008D0E0B" w:rsidP="002D6790">
      <w:pPr>
        <w:spacing w:line="360" w:lineRule="auto"/>
        <w:jc w:val="center"/>
        <w:rPr>
          <w:rFonts w:asciiTheme="minorHAnsi" w:hAnsiTheme="minorHAnsi" w:cstheme="minorHAnsi"/>
          <w:color w:val="000000"/>
          <w:u w:val="single"/>
          <w:lang w:val="uk-UA" w:eastAsia="ru-RU"/>
        </w:rPr>
      </w:pPr>
    </w:p>
    <w:p w:rsidR="008D0E0B" w:rsidRPr="00A06500" w:rsidRDefault="008D0E0B" w:rsidP="002D6790">
      <w:pPr>
        <w:spacing w:line="360" w:lineRule="auto"/>
        <w:jc w:val="center"/>
        <w:rPr>
          <w:rFonts w:asciiTheme="minorHAnsi" w:hAnsiTheme="minorHAnsi" w:cstheme="minorHAnsi"/>
          <w:color w:val="000000"/>
          <w:lang w:val="uk-UA" w:eastAsia="ru-RU"/>
        </w:rPr>
      </w:pPr>
      <w:r w:rsidRPr="00A06500">
        <w:rPr>
          <w:rFonts w:asciiTheme="minorHAnsi" w:hAnsiTheme="minorHAnsi" w:cstheme="minorHAnsi"/>
          <w:color w:val="000000"/>
          <w:lang w:val="uk-UA" w:eastAsia="ru-RU"/>
        </w:rPr>
        <w:t>Львів - 2018</w:t>
      </w:r>
    </w:p>
    <w:p w:rsidR="008D0E0B" w:rsidRPr="00A06500" w:rsidRDefault="008D0E0B" w:rsidP="001B65B2">
      <w:pPr>
        <w:rPr>
          <w:rFonts w:asciiTheme="minorHAnsi" w:hAnsiTheme="minorHAnsi" w:cstheme="minorHAnsi"/>
          <w:lang w:val="uk-UA"/>
        </w:rPr>
      </w:pPr>
      <w:r w:rsidRPr="00A06500">
        <w:rPr>
          <w:rFonts w:asciiTheme="minorHAnsi" w:hAnsiTheme="minorHAnsi" w:cstheme="minorHAnsi"/>
          <w:lang w:val="uk-UA"/>
        </w:rPr>
        <w:lastRenderedPageBreak/>
        <w:t xml:space="preserve">Розроблено робочою групою Львівського національного університету імені Івана Франка у складі: </w:t>
      </w: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r w:rsidRPr="00A06500">
        <w:rPr>
          <w:rFonts w:asciiTheme="minorHAnsi" w:hAnsiTheme="minorHAnsi" w:cstheme="minorHAnsi"/>
          <w:lang w:val="uk-UA"/>
        </w:rPr>
        <w:t xml:space="preserve">1. Доктор економічних наук, професор  </w:t>
      </w:r>
      <w:proofErr w:type="spellStart"/>
      <w:r w:rsidR="00D719CC" w:rsidRPr="00A06500">
        <w:rPr>
          <w:rFonts w:asciiTheme="minorHAnsi" w:hAnsiTheme="minorHAnsi" w:cstheme="minorHAnsi"/>
          <w:lang w:val="uk-UA"/>
        </w:rPr>
        <w:t>Присяжнюк</w:t>
      </w:r>
      <w:proofErr w:type="spellEnd"/>
      <w:r w:rsidR="00D719CC" w:rsidRPr="00A06500">
        <w:rPr>
          <w:rFonts w:asciiTheme="minorHAnsi" w:hAnsiTheme="minorHAnsi" w:cstheme="minorHAnsi"/>
          <w:lang w:val="uk-UA"/>
        </w:rPr>
        <w:t xml:space="preserve"> Ю.І. </w:t>
      </w:r>
      <w:r w:rsidRPr="00A06500">
        <w:rPr>
          <w:rFonts w:asciiTheme="minorHAnsi" w:hAnsiTheme="minorHAnsi" w:cstheme="minorHAnsi"/>
          <w:lang w:val="uk-UA"/>
        </w:rPr>
        <w:t>(гарант освітньої програми)</w:t>
      </w:r>
    </w:p>
    <w:p w:rsidR="00A15305" w:rsidRPr="00A06500" w:rsidRDefault="00D719CC" w:rsidP="001B65B2">
      <w:pPr>
        <w:rPr>
          <w:rFonts w:asciiTheme="minorHAnsi" w:hAnsiTheme="minorHAnsi" w:cstheme="minorHAnsi"/>
          <w:lang w:val="uk-UA"/>
        </w:rPr>
      </w:pPr>
      <w:r w:rsidRPr="00A06500">
        <w:rPr>
          <w:rFonts w:asciiTheme="minorHAnsi" w:hAnsiTheme="minorHAnsi" w:cstheme="minorHAnsi"/>
          <w:lang w:val="uk-UA"/>
        </w:rPr>
        <w:t>2</w:t>
      </w:r>
      <w:r w:rsidR="008D0E0B" w:rsidRPr="00A06500">
        <w:rPr>
          <w:rFonts w:asciiTheme="minorHAnsi" w:hAnsiTheme="minorHAnsi" w:cstheme="minorHAnsi"/>
          <w:lang w:val="uk-UA"/>
        </w:rPr>
        <w:t xml:space="preserve">. </w:t>
      </w:r>
      <w:r w:rsidR="00A15305" w:rsidRPr="00A06500">
        <w:rPr>
          <w:rFonts w:asciiTheme="minorHAnsi" w:hAnsiTheme="minorHAnsi" w:cstheme="minorHAnsi"/>
          <w:lang w:val="uk-UA"/>
        </w:rPr>
        <w:t xml:space="preserve">Доктор економічних наук, професор  </w:t>
      </w:r>
      <w:proofErr w:type="spellStart"/>
      <w:r w:rsidR="00A15305" w:rsidRPr="00A06500">
        <w:rPr>
          <w:rFonts w:asciiTheme="minorHAnsi" w:hAnsiTheme="minorHAnsi" w:cstheme="minorHAnsi"/>
          <w:lang w:val="uk-UA"/>
        </w:rPr>
        <w:t>Мальський</w:t>
      </w:r>
      <w:proofErr w:type="spellEnd"/>
      <w:r w:rsidR="00A15305" w:rsidRPr="00A06500">
        <w:rPr>
          <w:rFonts w:asciiTheme="minorHAnsi" w:hAnsiTheme="minorHAnsi" w:cstheme="minorHAnsi"/>
          <w:lang w:val="uk-UA"/>
        </w:rPr>
        <w:t xml:space="preserve"> М.З.</w:t>
      </w:r>
    </w:p>
    <w:p w:rsidR="008D0E0B" w:rsidRPr="00A06500" w:rsidRDefault="00A15305" w:rsidP="001B65B2">
      <w:pPr>
        <w:rPr>
          <w:rFonts w:asciiTheme="minorHAnsi" w:hAnsiTheme="minorHAnsi" w:cstheme="minorHAnsi"/>
          <w:lang w:val="uk-UA"/>
        </w:rPr>
      </w:pPr>
      <w:r w:rsidRPr="00A06500">
        <w:rPr>
          <w:rFonts w:asciiTheme="minorHAnsi" w:hAnsiTheme="minorHAnsi" w:cstheme="minorHAnsi"/>
          <w:lang w:val="uk-UA"/>
        </w:rPr>
        <w:t xml:space="preserve">3. </w:t>
      </w:r>
      <w:r w:rsidR="008D0E0B" w:rsidRPr="00A06500">
        <w:rPr>
          <w:rFonts w:asciiTheme="minorHAnsi" w:hAnsiTheme="minorHAnsi" w:cstheme="minorHAnsi"/>
          <w:lang w:val="uk-UA"/>
        </w:rPr>
        <w:t xml:space="preserve">Кандидат </w:t>
      </w:r>
      <w:r w:rsidR="00D719CC" w:rsidRPr="00A06500">
        <w:rPr>
          <w:rFonts w:asciiTheme="minorHAnsi" w:hAnsiTheme="minorHAnsi" w:cstheme="minorHAnsi"/>
          <w:lang w:val="uk-UA"/>
        </w:rPr>
        <w:t xml:space="preserve">політичних наук, доцент </w:t>
      </w:r>
      <w:proofErr w:type="spellStart"/>
      <w:r w:rsidR="00D719CC" w:rsidRPr="00A06500">
        <w:rPr>
          <w:rFonts w:asciiTheme="minorHAnsi" w:hAnsiTheme="minorHAnsi" w:cstheme="minorHAnsi"/>
          <w:lang w:val="uk-UA"/>
        </w:rPr>
        <w:t>Калитчак</w:t>
      </w:r>
      <w:proofErr w:type="spellEnd"/>
      <w:r w:rsidR="00D719CC" w:rsidRPr="00A06500">
        <w:rPr>
          <w:rFonts w:asciiTheme="minorHAnsi" w:hAnsiTheme="minorHAnsi" w:cstheme="minorHAnsi"/>
          <w:lang w:val="uk-UA"/>
        </w:rPr>
        <w:t xml:space="preserve"> Р.Г.</w:t>
      </w: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r w:rsidRPr="00A06500">
        <w:rPr>
          <w:rFonts w:asciiTheme="minorHAnsi" w:hAnsiTheme="minorHAnsi" w:cstheme="minorHAnsi"/>
          <w:lang w:val="uk-UA"/>
        </w:rPr>
        <w:t>Керівник проектної групи</w:t>
      </w:r>
    </w:p>
    <w:p w:rsidR="008D0E0B" w:rsidRPr="00A06500" w:rsidRDefault="008D0E0B" w:rsidP="001B65B2">
      <w:pPr>
        <w:rPr>
          <w:rFonts w:asciiTheme="minorHAnsi" w:hAnsiTheme="minorHAnsi" w:cstheme="minorHAnsi"/>
          <w:lang w:val="uk-UA"/>
        </w:rPr>
      </w:pPr>
      <w:r w:rsidRPr="00A06500">
        <w:rPr>
          <w:rFonts w:asciiTheme="minorHAnsi" w:hAnsiTheme="minorHAnsi" w:cstheme="minorHAnsi"/>
          <w:lang w:val="uk-UA"/>
        </w:rPr>
        <w:t xml:space="preserve">(гарант освітньої програми) ______________   (проф. </w:t>
      </w:r>
      <w:proofErr w:type="spellStart"/>
      <w:r w:rsidR="00D719CC" w:rsidRPr="00A06500">
        <w:rPr>
          <w:rFonts w:asciiTheme="minorHAnsi" w:hAnsiTheme="minorHAnsi" w:cstheme="minorHAnsi"/>
          <w:lang w:val="uk-UA"/>
        </w:rPr>
        <w:t>Присяжнюк</w:t>
      </w:r>
      <w:proofErr w:type="spellEnd"/>
      <w:r w:rsidR="00D719CC" w:rsidRPr="00A06500">
        <w:rPr>
          <w:rFonts w:asciiTheme="minorHAnsi" w:hAnsiTheme="minorHAnsi" w:cstheme="minorHAnsi"/>
          <w:lang w:val="uk-UA"/>
        </w:rPr>
        <w:t xml:space="preserve"> Ю.І.</w:t>
      </w:r>
      <w:r w:rsidRPr="00A06500">
        <w:rPr>
          <w:rFonts w:asciiTheme="minorHAnsi" w:hAnsiTheme="minorHAnsi" w:cstheme="minorHAnsi"/>
          <w:lang w:val="uk-UA"/>
        </w:rPr>
        <w:t>)</w:t>
      </w: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r w:rsidRPr="00A06500">
        <w:rPr>
          <w:rFonts w:asciiTheme="minorHAnsi" w:hAnsiTheme="minorHAnsi" w:cstheme="minorHAnsi"/>
          <w:lang w:val="uk-UA"/>
        </w:rPr>
        <w:t>Ухвалено</w:t>
      </w: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r w:rsidRPr="00A06500">
        <w:rPr>
          <w:rFonts w:asciiTheme="minorHAnsi" w:hAnsiTheme="minorHAnsi" w:cstheme="minorHAnsi"/>
          <w:lang w:val="uk-UA"/>
        </w:rPr>
        <w:t>на засіданні Вченої ради факул</w:t>
      </w:r>
      <w:r w:rsidR="00D719CC" w:rsidRPr="00A06500">
        <w:rPr>
          <w:rFonts w:asciiTheme="minorHAnsi" w:hAnsiTheme="minorHAnsi" w:cstheme="minorHAnsi"/>
          <w:lang w:val="uk-UA"/>
        </w:rPr>
        <w:t xml:space="preserve">ьтету міжнародних відносин від </w:t>
      </w:r>
      <w:r w:rsidRPr="00A06500">
        <w:rPr>
          <w:rFonts w:asciiTheme="minorHAnsi" w:hAnsiTheme="minorHAnsi" w:cstheme="minorHAnsi"/>
          <w:lang w:val="uk-UA"/>
        </w:rPr>
        <w:t xml:space="preserve"> 23 червня 2018 року</w:t>
      </w:r>
    </w:p>
    <w:p w:rsidR="008D0E0B" w:rsidRPr="00A06500" w:rsidRDefault="008D0E0B" w:rsidP="001B65B2">
      <w:pPr>
        <w:rPr>
          <w:rFonts w:asciiTheme="minorHAnsi" w:hAnsiTheme="minorHAnsi" w:cstheme="minorHAnsi"/>
          <w:lang w:val="uk-UA"/>
        </w:rPr>
      </w:pPr>
      <w:r w:rsidRPr="00A06500">
        <w:rPr>
          <w:rFonts w:asciiTheme="minorHAnsi" w:hAnsiTheme="minorHAnsi" w:cstheme="minorHAnsi"/>
          <w:lang w:val="uk-UA"/>
        </w:rPr>
        <w:t>Протокол № 6</w:t>
      </w: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p>
    <w:p w:rsidR="008D0E0B" w:rsidRPr="00A06500" w:rsidRDefault="008D0E0B" w:rsidP="001B65B2">
      <w:pPr>
        <w:rPr>
          <w:rFonts w:asciiTheme="minorHAnsi" w:hAnsiTheme="minorHAnsi" w:cstheme="minorHAnsi"/>
          <w:lang w:val="uk-UA"/>
        </w:rPr>
      </w:pPr>
      <w:r w:rsidRPr="00A06500">
        <w:rPr>
          <w:rFonts w:asciiTheme="minorHAnsi" w:hAnsiTheme="minorHAnsi" w:cstheme="minorHAnsi"/>
          <w:lang w:val="uk-UA"/>
        </w:rPr>
        <w:t xml:space="preserve">Декан факультету </w:t>
      </w:r>
    </w:p>
    <w:p w:rsidR="008D0E0B" w:rsidRPr="00A06500" w:rsidRDefault="008D0E0B" w:rsidP="001B65B2">
      <w:pPr>
        <w:rPr>
          <w:rFonts w:asciiTheme="minorHAnsi" w:hAnsiTheme="minorHAnsi" w:cstheme="minorHAnsi"/>
          <w:lang w:val="uk-UA"/>
        </w:rPr>
      </w:pPr>
      <w:r w:rsidRPr="00A06500">
        <w:rPr>
          <w:rFonts w:asciiTheme="minorHAnsi" w:hAnsiTheme="minorHAnsi" w:cstheme="minorHAnsi"/>
          <w:lang w:val="uk-UA"/>
        </w:rPr>
        <w:t xml:space="preserve">міжнародних відносин        ____________             (проф. М.З. </w:t>
      </w:r>
      <w:proofErr w:type="spellStart"/>
      <w:r w:rsidRPr="00A06500">
        <w:rPr>
          <w:rFonts w:asciiTheme="minorHAnsi" w:hAnsiTheme="minorHAnsi" w:cstheme="minorHAnsi"/>
          <w:lang w:val="uk-UA"/>
        </w:rPr>
        <w:t>Мальський</w:t>
      </w:r>
      <w:proofErr w:type="spellEnd"/>
      <w:r w:rsidRPr="00A06500">
        <w:rPr>
          <w:rFonts w:asciiTheme="minorHAnsi" w:hAnsiTheme="minorHAnsi" w:cstheme="minorHAnsi"/>
          <w:lang w:val="uk-UA"/>
        </w:rPr>
        <w:t>)</w:t>
      </w:r>
    </w:p>
    <w:p w:rsidR="008D0E0B" w:rsidRPr="00A06500" w:rsidRDefault="008D0E0B">
      <w:pPr>
        <w:rPr>
          <w:rFonts w:asciiTheme="minorHAnsi" w:hAnsiTheme="minorHAnsi" w:cstheme="minorHAnsi"/>
          <w:lang w:val="uk-UA"/>
        </w:rPr>
      </w:pPr>
      <w:r w:rsidRPr="00A06500">
        <w:rPr>
          <w:rFonts w:asciiTheme="minorHAnsi" w:hAnsiTheme="minorHAnsi" w:cstheme="minorHAnsi"/>
          <w:lang w:val="uk-UA"/>
        </w:rPr>
        <w:br w:type="page"/>
      </w:r>
    </w:p>
    <w:p w:rsidR="00D719CC" w:rsidRPr="00A06500" w:rsidRDefault="007248B5" w:rsidP="007248B5">
      <w:pPr>
        <w:numPr>
          <w:ilvl w:val="0"/>
          <w:numId w:val="19"/>
        </w:numPr>
        <w:suppressAutoHyphens/>
        <w:spacing w:line="240" w:lineRule="auto"/>
        <w:jc w:val="center"/>
        <w:rPr>
          <w:rFonts w:asciiTheme="minorHAnsi" w:hAnsiTheme="minorHAnsi" w:cstheme="minorHAnsi"/>
          <w:b/>
          <w:bCs/>
          <w:sz w:val="24"/>
          <w:szCs w:val="24"/>
          <w:lang w:val="uk-UA"/>
        </w:rPr>
      </w:pPr>
      <w:r w:rsidRPr="00A06500">
        <w:rPr>
          <w:rFonts w:asciiTheme="minorHAnsi" w:hAnsiTheme="minorHAnsi" w:cstheme="minorHAnsi"/>
          <w:b/>
          <w:bCs/>
          <w:sz w:val="24"/>
          <w:szCs w:val="24"/>
          <w:lang w:val="uk-UA"/>
        </w:rPr>
        <w:lastRenderedPageBreak/>
        <w:t>Профіль освітньо-професійної</w:t>
      </w:r>
      <w:r w:rsidR="00D719CC" w:rsidRPr="00A06500">
        <w:rPr>
          <w:rFonts w:asciiTheme="minorHAnsi" w:hAnsiTheme="minorHAnsi" w:cstheme="minorHAnsi"/>
          <w:b/>
          <w:bCs/>
          <w:sz w:val="24"/>
          <w:szCs w:val="24"/>
          <w:lang w:val="uk-UA"/>
        </w:rPr>
        <w:t xml:space="preserve"> програми </w:t>
      </w:r>
      <w:r w:rsidRPr="00A06500">
        <w:rPr>
          <w:rFonts w:asciiTheme="minorHAnsi" w:hAnsiTheme="minorHAnsi" w:cstheme="minorHAnsi"/>
          <w:b/>
          <w:bCs/>
          <w:sz w:val="24"/>
          <w:szCs w:val="24"/>
          <w:lang w:val="uk-UA"/>
        </w:rPr>
        <w:t>«Євр</w:t>
      </w:r>
      <w:r w:rsidRPr="00A06500">
        <w:rPr>
          <w:rFonts w:asciiTheme="minorHAnsi" w:hAnsiTheme="minorHAnsi" w:cstheme="minorHAnsi"/>
          <w:b/>
          <w:bCs/>
          <w:sz w:val="24"/>
          <w:szCs w:val="24"/>
          <w:lang w:val="uk-UA"/>
        </w:rPr>
        <w:t xml:space="preserve">опейське місцеве та регіональне </w:t>
      </w:r>
      <w:r w:rsidRPr="00A06500">
        <w:rPr>
          <w:rFonts w:asciiTheme="minorHAnsi" w:hAnsiTheme="minorHAnsi" w:cstheme="minorHAnsi"/>
          <w:b/>
          <w:bCs/>
          <w:sz w:val="24"/>
          <w:szCs w:val="24"/>
          <w:lang w:val="uk-UA"/>
        </w:rPr>
        <w:t>врядування»</w:t>
      </w:r>
      <w:r w:rsidRPr="00A06500">
        <w:rPr>
          <w:rFonts w:asciiTheme="minorHAnsi" w:hAnsiTheme="minorHAnsi" w:cstheme="minorHAnsi"/>
          <w:b/>
          <w:bCs/>
          <w:sz w:val="24"/>
          <w:szCs w:val="24"/>
          <w:lang w:val="uk-UA"/>
        </w:rPr>
        <w:t xml:space="preserve"> магістерського</w:t>
      </w:r>
      <w:r w:rsidRPr="00A06500">
        <w:rPr>
          <w:rFonts w:asciiTheme="minorHAnsi" w:hAnsiTheme="minorHAnsi" w:cstheme="minorHAnsi"/>
          <w:b/>
          <w:bCs/>
          <w:sz w:val="24"/>
          <w:szCs w:val="24"/>
          <w:lang w:val="uk-UA"/>
        </w:rPr>
        <w:t xml:space="preserve"> рівня вищої освіти</w:t>
      </w:r>
    </w:p>
    <w:p w:rsidR="00D719CC" w:rsidRPr="00A06500" w:rsidRDefault="00D719CC" w:rsidP="00D719CC">
      <w:pPr>
        <w:ind w:left="1068"/>
        <w:rPr>
          <w:rFonts w:asciiTheme="minorHAnsi" w:hAnsiTheme="minorHAnsi" w:cstheme="minorHAnsi"/>
          <w:b/>
          <w:sz w:val="24"/>
          <w:szCs w:val="24"/>
          <w:lang w:val="uk-UA"/>
        </w:rPr>
      </w:pPr>
    </w:p>
    <w:tbl>
      <w:tblPr>
        <w:tblW w:w="9924" w:type="dxa"/>
        <w:tblInd w:w="-30" w:type="dxa"/>
        <w:tblLayout w:type="fixed"/>
        <w:tblLook w:val="04A0" w:firstRow="1" w:lastRow="0" w:firstColumn="1" w:lastColumn="0" w:noHBand="0" w:noVBand="1"/>
      </w:tblPr>
      <w:tblGrid>
        <w:gridCol w:w="3683"/>
        <w:gridCol w:w="6241"/>
      </w:tblGrid>
      <w:tr w:rsidR="00D719CC" w:rsidRPr="00A06500" w:rsidTr="00D719CC">
        <w:trPr>
          <w:trHeight w:val="443"/>
        </w:trPr>
        <w:tc>
          <w:tcPr>
            <w:tcW w:w="9924" w:type="dxa"/>
            <w:gridSpan w:val="2"/>
            <w:tcBorders>
              <w:top w:val="single" w:sz="4" w:space="0" w:color="000000"/>
              <w:left w:val="single" w:sz="4" w:space="0" w:color="000000"/>
              <w:bottom w:val="single" w:sz="4" w:space="0" w:color="000000"/>
              <w:right w:val="single" w:sz="4" w:space="0" w:color="000000"/>
            </w:tcBorders>
          </w:tcPr>
          <w:p w:rsidR="00D719CC" w:rsidRPr="00A06500" w:rsidRDefault="00D719CC" w:rsidP="00D719CC">
            <w:pPr>
              <w:jc w:val="center"/>
              <w:rPr>
                <w:rFonts w:asciiTheme="minorHAnsi" w:hAnsiTheme="minorHAnsi" w:cstheme="minorHAnsi"/>
                <w:b/>
                <w:sz w:val="24"/>
                <w:szCs w:val="24"/>
                <w:lang w:val="uk-UA"/>
              </w:rPr>
            </w:pPr>
          </w:p>
          <w:p w:rsidR="00D719CC" w:rsidRPr="00A06500" w:rsidRDefault="00D719CC" w:rsidP="00D719CC">
            <w:pPr>
              <w:jc w:val="center"/>
              <w:rPr>
                <w:rFonts w:asciiTheme="minorHAnsi" w:hAnsiTheme="minorHAnsi" w:cstheme="minorHAnsi"/>
                <w:b/>
                <w:sz w:val="24"/>
                <w:szCs w:val="24"/>
                <w:lang w:val="uk-UA"/>
              </w:rPr>
            </w:pPr>
            <w:r w:rsidRPr="00A06500">
              <w:rPr>
                <w:rFonts w:asciiTheme="minorHAnsi" w:hAnsiTheme="minorHAnsi" w:cstheme="minorHAnsi"/>
                <w:b/>
                <w:sz w:val="24"/>
                <w:szCs w:val="24"/>
                <w:lang w:val="uk-UA"/>
              </w:rPr>
              <w:t>І. Загальна інформація</w:t>
            </w:r>
          </w:p>
          <w:p w:rsidR="00D719CC" w:rsidRPr="00A06500" w:rsidRDefault="00D719CC" w:rsidP="00D719CC">
            <w:pPr>
              <w:jc w:val="center"/>
              <w:rPr>
                <w:rFonts w:asciiTheme="minorHAnsi" w:hAnsiTheme="minorHAnsi" w:cstheme="minorHAnsi"/>
                <w:sz w:val="24"/>
                <w:szCs w:val="24"/>
                <w:lang w:val="uk-UA"/>
              </w:rPr>
            </w:pP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lang w:val="uk-UA"/>
              </w:rPr>
              <w:t>Повна назва вищого навчального закладу та структурного підрозділу</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sz w:val="24"/>
                <w:szCs w:val="24"/>
                <w:lang w:val="uk-UA"/>
              </w:rPr>
              <w:t>Львівський національний університет імені Івана Франка</w:t>
            </w:r>
          </w:p>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sz w:val="24"/>
                <w:szCs w:val="24"/>
                <w:lang w:val="uk-UA"/>
              </w:rPr>
              <w:t xml:space="preserve">Факультет міжнародних відносин </w:t>
            </w:r>
          </w:p>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sz w:val="24"/>
                <w:szCs w:val="24"/>
                <w:lang w:val="uk-UA"/>
              </w:rPr>
              <w:t>Кафедра міжнародних відносин і дипломатичної служби</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lang w:val="uk-UA"/>
              </w:rPr>
              <w:t xml:space="preserve">Ступінь вищої освіти та назва кваліфікації </w:t>
            </w:r>
          </w:p>
          <w:p w:rsidR="00D719CC" w:rsidRPr="00A06500" w:rsidRDefault="00D719CC" w:rsidP="00D719CC">
            <w:pPr>
              <w:rPr>
                <w:rFonts w:asciiTheme="minorHAnsi" w:hAnsiTheme="minorHAnsi" w:cstheme="minorHAnsi"/>
                <w:sz w:val="24"/>
                <w:szCs w:val="24"/>
                <w:lang w:val="uk-UA"/>
              </w:rPr>
            </w:pP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D719CC">
            <w:pPr>
              <w:jc w:val="both"/>
              <w:rPr>
                <w:rFonts w:asciiTheme="minorHAnsi" w:hAnsiTheme="minorHAnsi" w:cstheme="minorHAnsi"/>
                <w:sz w:val="24"/>
                <w:szCs w:val="24"/>
                <w:lang w:val="uk-UA"/>
              </w:rPr>
            </w:pPr>
            <w:r w:rsidRPr="00A06500">
              <w:rPr>
                <w:rFonts w:asciiTheme="minorHAnsi" w:hAnsiTheme="minorHAnsi" w:cstheme="minorHAnsi"/>
                <w:sz w:val="24"/>
                <w:szCs w:val="24"/>
                <w:lang w:val="uk-UA"/>
              </w:rPr>
              <w:t xml:space="preserve">Другий (магістерський) рівень </w:t>
            </w:r>
          </w:p>
          <w:p w:rsidR="00D719CC" w:rsidRPr="00A06500" w:rsidRDefault="00D719CC" w:rsidP="004F7362">
            <w:pPr>
              <w:rPr>
                <w:rFonts w:asciiTheme="minorHAnsi" w:hAnsiTheme="minorHAnsi" w:cstheme="minorHAnsi"/>
                <w:sz w:val="24"/>
                <w:szCs w:val="24"/>
                <w:lang w:val="uk-UA"/>
              </w:rPr>
            </w:pPr>
            <w:r w:rsidRPr="00A06500">
              <w:rPr>
                <w:rFonts w:asciiTheme="minorHAnsi" w:hAnsiTheme="minorHAnsi" w:cstheme="minorHAnsi"/>
                <w:sz w:val="24"/>
                <w:szCs w:val="24"/>
                <w:lang w:val="uk-UA"/>
              </w:rPr>
              <w:t xml:space="preserve">Кваліфікація: </w:t>
            </w:r>
            <w:r w:rsidRPr="00A06500">
              <w:rPr>
                <w:rFonts w:ascii="Calibri" w:hAnsi="Calibri" w:cs="Calibri"/>
                <w:color w:val="000000"/>
                <w:sz w:val="24"/>
                <w:szCs w:val="24"/>
                <w:lang w:val="uk-UA" w:eastAsia="ru-RU"/>
              </w:rPr>
              <w:t>Маг</w:t>
            </w:r>
            <w:r w:rsidR="004F7362">
              <w:rPr>
                <w:rFonts w:ascii="Calibri" w:hAnsi="Calibri" w:cs="Calibri"/>
                <w:color w:val="000000"/>
                <w:sz w:val="24"/>
                <w:szCs w:val="24"/>
                <w:lang w:val="uk-UA" w:eastAsia="ru-RU"/>
              </w:rPr>
              <w:t xml:space="preserve">істр з міжнародних відносин. </w:t>
            </w:r>
            <w:r w:rsidRPr="00A06500">
              <w:rPr>
                <w:rFonts w:ascii="Calibri" w:hAnsi="Calibri" w:cs="Calibri"/>
                <w:color w:val="000000"/>
                <w:sz w:val="24"/>
                <w:szCs w:val="24"/>
                <w:lang w:val="uk-UA" w:eastAsia="ru-RU"/>
              </w:rPr>
              <w:t>(Європейське місцеве та регіональне врядування). Перекладач.</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lang w:val="uk-UA"/>
              </w:rPr>
              <w:t>Офіційна назва освітньої програми</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D719CC">
            <w:pPr>
              <w:jc w:val="both"/>
              <w:rPr>
                <w:rFonts w:asciiTheme="minorHAnsi" w:hAnsiTheme="minorHAnsi" w:cstheme="minorHAnsi"/>
                <w:sz w:val="24"/>
                <w:szCs w:val="24"/>
                <w:lang w:val="uk-UA"/>
              </w:rPr>
            </w:pPr>
            <w:r w:rsidRPr="00A06500">
              <w:rPr>
                <w:rFonts w:asciiTheme="minorHAnsi" w:hAnsiTheme="minorHAnsi" w:cstheme="minorHAnsi"/>
                <w:sz w:val="24"/>
                <w:szCs w:val="24"/>
                <w:lang w:val="uk-UA"/>
              </w:rPr>
              <w:t>Освітньо-професійна програма підготовки магістра зі спеціальності «Міжнародні відносини, суспільні комунікації та регіональні студії», спеціалізації «</w:t>
            </w:r>
            <w:r w:rsidRPr="00A06500">
              <w:rPr>
                <w:rFonts w:ascii="Calibri" w:hAnsi="Calibri" w:cs="Calibri"/>
                <w:color w:val="000000"/>
                <w:sz w:val="24"/>
                <w:szCs w:val="24"/>
                <w:lang w:val="uk-UA" w:eastAsia="ru-RU"/>
              </w:rPr>
              <w:t>Європейське місцеве та регіональне врядування»</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lang w:val="uk-UA"/>
              </w:rPr>
              <w:t>Тип  диплома та обсяг освітньої  програми</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D719CC">
            <w:pPr>
              <w:jc w:val="both"/>
              <w:rPr>
                <w:rFonts w:asciiTheme="minorHAnsi" w:hAnsiTheme="minorHAnsi" w:cstheme="minorHAnsi"/>
                <w:sz w:val="24"/>
                <w:szCs w:val="24"/>
                <w:lang w:val="uk-UA"/>
              </w:rPr>
            </w:pPr>
            <w:r w:rsidRPr="00A06500">
              <w:rPr>
                <w:rFonts w:asciiTheme="minorHAnsi" w:hAnsiTheme="minorHAnsi" w:cstheme="minorHAnsi"/>
                <w:sz w:val="24"/>
                <w:szCs w:val="24"/>
                <w:lang w:val="uk-UA"/>
              </w:rPr>
              <w:t>Диплом магістра, одиничний,  240 кредитів ЄКТС,  1 рік 4 місяці</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lang w:val="uk-UA"/>
              </w:rPr>
              <w:t>Наявність акредитації</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D719CC">
            <w:pPr>
              <w:rPr>
                <w:rFonts w:asciiTheme="minorHAnsi" w:hAnsiTheme="minorHAnsi" w:cstheme="minorHAnsi"/>
                <w:color w:val="FF0000"/>
                <w:sz w:val="24"/>
                <w:szCs w:val="24"/>
                <w:lang w:val="uk-UA"/>
              </w:rPr>
            </w:pPr>
            <w:r w:rsidRPr="00A06500">
              <w:rPr>
                <w:rFonts w:asciiTheme="minorHAnsi" w:hAnsiTheme="minorHAnsi" w:cstheme="minorHAnsi"/>
                <w:color w:val="FF0000"/>
                <w:sz w:val="24"/>
                <w:szCs w:val="24"/>
                <w:highlight w:val="yellow"/>
                <w:lang w:val="uk-UA"/>
              </w:rPr>
              <w:t>?????</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lang w:val="uk-UA"/>
              </w:rPr>
              <w:t>Цикл/рівень</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D719CC">
            <w:pPr>
              <w:pStyle w:val="Default"/>
              <w:rPr>
                <w:rFonts w:ascii="Calibri" w:hAnsi="Calibri" w:cs="Calibri"/>
                <w:lang w:val="uk-UA"/>
              </w:rPr>
            </w:pPr>
            <w:r w:rsidRPr="00A06500">
              <w:rPr>
                <w:rFonts w:ascii="Calibri" w:hAnsi="Calibri" w:cs="Calibri"/>
                <w:lang w:val="uk-UA"/>
              </w:rPr>
              <w:t xml:space="preserve">Другий (магістерський) рівень вищої освіти/ сьомий кваліфікаційний рівень Національної рамки кваліфікацій. </w:t>
            </w:r>
          </w:p>
          <w:p w:rsidR="00D719CC" w:rsidRPr="00A06500" w:rsidRDefault="00D719CC" w:rsidP="00D719CC">
            <w:pPr>
              <w:pStyle w:val="Default"/>
              <w:rPr>
                <w:rFonts w:ascii="Calibri" w:hAnsi="Calibri" w:cs="Calibri"/>
                <w:lang w:val="uk-UA"/>
              </w:rPr>
            </w:pPr>
            <w:r w:rsidRPr="00A06500">
              <w:rPr>
                <w:rFonts w:ascii="Calibri" w:hAnsi="Calibri" w:cs="Calibri"/>
                <w:lang w:val="uk-UA"/>
              </w:rPr>
              <w:t xml:space="preserve">FQ-EHEA – другий цикл, </w:t>
            </w:r>
          </w:p>
          <w:p w:rsidR="00D719CC" w:rsidRPr="00A06500" w:rsidRDefault="00D719CC" w:rsidP="00D719CC">
            <w:pPr>
              <w:rPr>
                <w:rFonts w:asciiTheme="minorHAnsi" w:hAnsiTheme="minorHAnsi" w:cstheme="minorHAnsi"/>
                <w:sz w:val="24"/>
                <w:szCs w:val="24"/>
                <w:lang w:val="uk-UA"/>
              </w:rPr>
            </w:pPr>
            <w:r w:rsidRPr="00A06500">
              <w:rPr>
                <w:rFonts w:ascii="Calibri" w:hAnsi="Calibri" w:cs="Calibri"/>
                <w:sz w:val="24"/>
                <w:szCs w:val="24"/>
                <w:lang w:val="uk-UA"/>
              </w:rPr>
              <w:t>EQF-LLL – 7 рівень</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lang w:val="uk-UA"/>
              </w:rPr>
              <w:t xml:space="preserve">Передумова </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D719CC">
            <w:pPr>
              <w:pStyle w:val="Default"/>
              <w:rPr>
                <w:rFonts w:asciiTheme="minorHAnsi" w:hAnsiTheme="minorHAnsi" w:cstheme="minorHAnsi"/>
                <w:lang w:val="uk-UA"/>
              </w:rPr>
            </w:pPr>
            <w:r w:rsidRPr="00A06500">
              <w:rPr>
                <w:rFonts w:asciiTheme="minorHAnsi" w:hAnsiTheme="minorHAnsi" w:cstheme="minorHAnsi"/>
                <w:lang w:val="uk-UA"/>
              </w:rPr>
              <w:t>Наявність диплома бакалавра, спеціаліста.</w:t>
            </w:r>
          </w:p>
          <w:p w:rsidR="00D719CC" w:rsidRPr="00A06500" w:rsidRDefault="00D719CC" w:rsidP="00D719CC">
            <w:pPr>
              <w:pStyle w:val="Default"/>
              <w:rPr>
                <w:rFonts w:asciiTheme="minorHAnsi" w:hAnsiTheme="minorHAnsi" w:cstheme="minorHAnsi"/>
                <w:lang w:val="uk-UA"/>
              </w:rPr>
            </w:pPr>
            <w:r w:rsidRPr="00A06500">
              <w:rPr>
                <w:rFonts w:asciiTheme="minorHAnsi" w:hAnsiTheme="minorHAnsi" w:cstheme="minorHAnsi"/>
                <w:lang w:val="uk-UA"/>
              </w:rPr>
              <w:t xml:space="preserve">Умови вступу визначаються «Правилами прийому до Львівського національного університету імені Івана Франка», затвердженими Вченою радою. </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lang w:val="uk-UA"/>
              </w:rPr>
              <w:t>Мова викладання</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D719CC">
            <w:pPr>
              <w:jc w:val="both"/>
              <w:rPr>
                <w:rFonts w:asciiTheme="minorHAnsi" w:hAnsiTheme="minorHAnsi" w:cstheme="minorHAnsi"/>
                <w:sz w:val="24"/>
                <w:szCs w:val="24"/>
                <w:lang w:val="uk-UA"/>
              </w:rPr>
            </w:pPr>
            <w:r w:rsidRPr="00A06500">
              <w:rPr>
                <w:rFonts w:asciiTheme="minorHAnsi" w:eastAsia="Times New Roman" w:hAnsiTheme="minorHAnsi" w:cstheme="minorHAnsi"/>
                <w:sz w:val="24"/>
                <w:szCs w:val="24"/>
                <w:lang w:val="uk-UA" w:eastAsia="ru-RU"/>
              </w:rPr>
              <w:t>українська, англійська</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lang w:val="uk-UA"/>
              </w:rPr>
              <w:t>Термін дії</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D719CC">
            <w:pPr>
              <w:jc w:val="both"/>
              <w:rPr>
                <w:rFonts w:asciiTheme="minorHAnsi" w:hAnsiTheme="minorHAnsi" w:cstheme="minorHAnsi"/>
                <w:color w:val="FF0000"/>
                <w:sz w:val="24"/>
                <w:szCs w:val="24"/>
                <w:lang w:val="uk-UA"/>
              </w:rPr>
            </w:pPr>
            <w:r w:rsidRPr="00A06500">
              <w:rPr>
                <w:rFonts w:asciiTheme="minorHAnsi" w:hAnsiTheme="minorHAnsi" w:cstheme="minorHAnsi"/>
                <w:color w:val="FF0000"/>
                <w:sz w:val="24"/>
                <w:szCs w:val="24"/>
                <w:highlight w:val="yellow"/>
                <w:lang w:val="uk-UA"/>
              </w:rPr>
              <w:t>до ????</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jc w:val="both"/>
              <w:rPr>
                <w:rFonts w:asciiTheme="minorHAnsi" w:hAnsiTheme="minorHAnsi" w:cstheme="minorHAnsi"/>
                <w:sz w:val="24"/>
                <w:szCs w:val="24"/>
                <w:lang w:val="uk-UA"/>
              </w:rPr>
            </w:pPr>
            <w:r w:rsidRPr="00A06500">
              <w:rPr>
                <w:rFonts w:asciiTheme="minorHAnsi" w:hAnsiTheme="minorHAnsi" w:cstheme="minorHAnsi"/>
                <w:b/>
                <w:sz w:val="24"/>
                <w:szCs w:val="24"/>
                <w:lang w:val="uk-UA"/>
              </w:rPr>
              <w:t>Інтернет-адреса постійного розміщення опису освітньої програми</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D719CC">
            <w:pPr>
              <w:jc w:val="both"/>
              <w:rPr>
                <w:rFonts w:asciiTheme="minorHAnsi" w:hAnsiTheme="minorHAnsi" w:cstheme="minorHAnsi"/>
                <w:color w:val="FF0000"/>
                <w:sz w:val="24"/>
                <w:szCs w:val="24"/>
                <w:lang w:val="uk-UA"/>
              </w:rPr>
            </w:pPr>
            <w:r w:rsidRPr="00A06500">
              <w:rPr>
                <w:rFonts w:asciiTheme="minorHAnsi" w:eastAsia="Times New Roman" w:hAnsiTheme="minorHAnsi" w:cstheme="minorHAnsi"/>
                <w:sz w:val="24"/>
                <w:szCs w:val="24"/>
                <w:lang w:val="uk-UA" w:eastAsia="uk-UA"/>
              </w:rPr>
              <w:t>http://intrel.lnu.edu.ua/</w:t>
            </w:r>
          </w:p>
        </w:tc>
      </w:tr>
      <w:tr w:rsidR="00D719CC" w:rsidRPr="00A06500" w:rsidTr="00D719CC">
        <w:tc>
          <w:tcPr>
            <w:tcW w:w="9924" w:type="dxa"/>
            <w:gridSpan w:val="2"/>
            <w:tcBorders>
              <w:top w:val="single" w:sz="4" w:space="0" w:color="000000"/>
              <w:left w:val="single" w:sz="4" w:space="0" w:color="000000"/>
              <w:bottom w:val="single" w:sz="4" w:space="0" w:color="000000"/>
              <w:right w:val="single" w:sz="4" w:space="0" w:color="000000"/>
            </w:tcBorders>
          </w:tcPr>
          <w:p w:rsidR="00D719CC" w:rsidRPr="00A06500" w:rsidRDefault="00D719CC" w:rsidP="00D719CC">
            <w:pPr>
              <w:rPr>
                <w:rFonts w:asciiTheme="minorHAnsi" w:hAnsiTheme="minorHAnsi" w:cstheme="minorHAnsi"/>
                <w:b/>
                <w:sz w:val="16"/>
                <w:szCs w:val="16"/>
                <w:lang w:val="uk-UA"/>
              </w:rPr>
            </w:pPr>
          </w:p>
          <w:p w:rsidR="00D719CC" w:rsidRPr="00A06500" w:rsidRDefault="00D719CC" w:rsidP="00D719CC">
            <w:pPr>
              <w:numPr>
                <w:ilvl w:val="0"/>
                <w:numId w:val="19"/>
              </w:numPr>
              <w:jc w:val="center"/>
              <w:rPr>
                <w:rFonts w:asciiTheme="minorHAnsi" w:hAnsiTheme="minorHAnsi" w:cstheme="minorHAnsi"/>
                <w:b/>
                <w:sz w:val="24"/>
                <w:szCs w:val="24"/>
                <w:lang w:val="uk-UA"/>
              </w:rPr>
            </w:pPr>
            <w:r w:rsidRPr="00A06500">
              <w:rPr>
                <w:rFonts w:asciiTheme="minorHAnsi" w:hAnsiTheme="minorHAnsi" w:cstheme="minorHAnsi"/>
                <w:b/>
                <w:sz w:val="24"/>
                <w:szCs w:val="24"/>
                <w:lang w:val="uk-UA"/>
              </w:rPr>
              <w:t>Мета освітньої програми</w:t>
            </w:r>
          </w:p>
          <w:p w:rsidR="00D719CC" w:rsidRPr="00A06500" w:rsidRDefault="00D719CC" w:rsidP="00D719CC">
            <w:pPr>
              <w:ind w:left="1068"/>
              <w:rPr>
                <w:rFonts w:asciiTheme="minorHAnsi" w:eastAsia="Times New Roman" w:hAnsiTheme="minorHAnsi" w:cstheme="minorHAnsi"/>
                <w:sz w:val="16"/>
                <w:szCs w:val="16"/>
                <w:lang w:val="uk-UA"/>
              </w:rPr>
            </w:pPr>
          </w:p>
          <w:p w:rsidR="00D719CC" w:rsidRPr="00A06500" w:rsidRDefault="00D719CC" w:rsidP="000003BF">
            <w:pPr>
              <w:jc w:val="both"/>
              <w:rPr>
                <w:rFonts w:asciiTheme="minorHAnsi" w:hAnsiTheme="minorHAnsi" w:cstheme="minorHAnsi"/>
                <w:sz w:val="24"/>
                <w:szCs w:val="24"/>
                <w:lang w:val="uk-UA"/>
              </w:rPr>
            </w:pPr>
            <w:r w:rsidRPr="00A06500">
              <w:rPr>
                <w:rFonts w:asciiTheme="minorHAnsi" w:hAnsiTheme="minorHAnsi" w:cstheme="minorHAnsi"/>
                <w:sz w:val="24"/>
                <w:szCs w:val="24"/>
                <w:lang w:val="uk-UA"/>
              </w:rPr>
              <w:t xml:space="preserve">         </w:t>
            </w:r>
            <w:r w:rsidR="00BB4A76" w:rsidRPr="00A06500">
              <w:rPr>
                <w:rFonts w:asciiTheme="minorHAnsi" w:hAnsiTheme="minorHAnsi" w:cstheme="minorHAnsi"/>
                <w:sz w:val="24"/>
                <w:szCs w:val="24"/>
                <w:lang w:val="uk-UA"/>
              </w:rPr>
              <w:t>Освітня програма спрямована на глибше вивчення окремих аспектів європейських інтеграційних процесів і таким чином покликана забезпечити належний рівень вивчення теоретичних засад та ознайомлення з практичними аспектами функціонування місцевого і регіонального рівня врядування у ЄС. Актуальність освітньої програми обумовлена потребою</w:t>
            </w:r>
            <w:r w:rsidR="000003BF" w:rsidRPr="00A06500">
              <w:rPr>
                <w:rFonts w:asciiTheme="minorHAnsi" w:hAnsiTheme="minorHAnsi" w:cstheme="minorHAnsi"/>
                <w:sz w:val="24"/>
                <w:szCs w:val="24"/>
                <w:lang w:val="uk-UA"/>
              </w:rPr>
              <w:t xml:space="preserve"> </w:t>
            </w:r>
            <w:r w:rsidR="00BB4A76" w:rsidRPr="00A06500">
              <w:rPr>
                <w:rFonts w:asciiTheme="minorHAnsi" w:hAnsiTheme="minorHAnsi" w:cstheme="minorHAnsi"/>
                <w:sz w:val="24"/>
                <w:szCs w:val="24"/>
                <w:lang w:val="uk-UA"/>
              </w:rPr>
              <w:t>краще збагнути рольову функцію і потенційний внесок місцевих та регіональних властей у контексті зближення нашої держави з Європейським Союзом. Метою програми є підготувати належне кадрове забезпечення для успішного залучення місцевих та регіональних властей у розбудову відносин між Україною та ЄС.</w:t>
            </w:r>
          </w:p>
        </w:tc>
      </w:tr>
      <w:tr w:rsidR="00D719CC" w:rsidRPr="00A06500" w:rsidTr="00D719CC">
        <w:tc>
          <w:tcPr>
            <w:tcW w:w="9924" w:type="dxa"/>
            <w:gridSpan w:val="2"/>
            <w:tcBorders>
              <w:top w:val="single" w:sz="4" w:space="0" w:color="000000"/>
              <w:left w:val="single" w:sz="4" w:space="0" w:color="000000"/>
              <w:bottom w:val="single" w:sz="4" w:space="0" w:color="000000"/>
              <w:right w:val="single" w:sz="4" w:space="0" w:color="000000"/>
            </w:tcBorders>
          </w:tcPr>
          <w:p w:rsidR="00D719CC" w:rsidRPr="00A06500" w:rsidRDefault="00D719CC" w:rsidP="00D719CC">
            <w:pPr>
              <w:jc w:val="center"/>
              <w:rPr>
                <w:rFonts w:asciiTheme="minorHAnsi" w:eastAsia="Times New Roman" w:hAnsiTheme="minorHAnsi" w:cstheme="minorHAnsi"/>
                <w:b/>
                <w:sz w:val="24"/>
                <w:szCs w:val="24"/>
                <w:lang w:val="uk-UA"/>
              </w:rPr>
            </w:pPr>
            <w:r w:rsidRPr="00A06500">
              <w:rPr>
                <w:rFonts w:asciiTheme="minorHAnsi" w:eastAsia="Times New Roman" w:hAnsiTheme="minorHAnsi" w:cstheme="minorHAnsi"/>
                <w:b/>
                <w:sz w:val="24"/>
                <w:szCs w:val="24"/>
                <w:lang w:val="uk-UA"/>
              </w:rPr>
              <w:t xml:space="preserve"> </w:t>
            </w:r>
          </w:p>
          <w:p w:rsidR="00D719CC" w:rsidRPr="00A06500" w:rsidRDefault="00BB4A76" w:rsidP="00BB4A76">
            <w:pPr>
              <w:rPr>
                <w:rFonts w:asciiTheme="minorHAnsi" w:hAnsiTheme="minorHAnsi" w:cstheme="minorHAnsi"/>
                <w:sz w:val="24"/>
                <w:szCs w:val="24"/>
                <w:lang w:val="uk-UA"/>
              </w:rPr>
            </w:pPr>
            <w:r w:rsidRPr="00A06500">
              <w:rPr>
                <w:rFonts w:asciiTheme="minorHAnsi" w:eastAsia="Times New Roman" w:hAnsiTheme="minorHAnsi" w:cstheme="minorHAnsi"/>
                <w:b/>
                <w:sz w:val="24"/>
                <w:szCs w:val="24"/>
                <w:lang w:val="uk-UA"/>
              </w:rPr>
              <w:t xml:space="preserve">                                                     </w:t>
            </w:r>
            <w:r w:rsidR="00D719CC" w:rsidRPr="00A06500">
              <w:rPr>
                <w:rFonts w:asciiTheme="minorHAnsi" w:eastAsia="Times New Roman" w:hAnsiTheme="minorHAnsi" w:cstheme="minorHAnsi"/>
                <w:b/>
                <w:sz w:val="24"/>
                <w:szCs w:val="24"/>
                <w:lang w:val="uk-UA"/>
              </w:rPr>
              <w:t xml:space="preserve"> </w:t>
            </w:r>
            <w:r w:rsidR="00D719CC" w:rsidRPr="00A06500">
              <w:rPr>
                <w:rFonts w:asciiTheme="minorHAnsi" w:hAnsiTheme="minorHAnsi" w:cstheme="minorHAnsi"/>
                <w:b/>
                <w:sz w:val="24"/>
                <w:szCs w:val="24"/>
                <w:lang w:val="uk-UA"/>
              </w:rPr>
              <w:t>3. Характеристика освітньої програми</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lang w:val="uk-UA"/>
              </w:rPr>
              <w:lastRenderedPageBreak/>
              <w:t xml:space="preserve">Предметна область (галузь знань, спеціальність, спеціалізація </w:t>
            </w:r>
            <w:r w:rsidRPr="00A06500">
              <w:rPr>
                <w:rFonts w:asciiTheme="minorHAnsi" w:hAnsiTheme="minorHAnsi" w:cstheme="minorHAnsi"/>
                <w:sz w:val="24"/>
                <w:szCs w:val="24"/>
                <w:lang w:val="uk-UA"/>
              </w:rPr>
              <w:t>(за наявності)</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ind w:firstLine="288"/>
              <w:jc w:val="both"/>
              <w:rPr>
                <w:rFonts w:asciiTheme="minorHAnsi" w:eastAsia="Times New Roman" w:hAnsiTheme="minorHAnsi" w:cstheme="minorHAnsi"/>
                <w:sz w:val="24"/>
                <w:szCs w:val="24"/>
                <w:lang w:val="uk-UA" w:eastAsia="ru-RU"/>
              </w:rPr>
            </w:pPr>
            <w:r w:rsidRPr="00A06500">
              <w:rPr>
                <w:rFonts w:asciiTheme="minorHAnsi" w:eastAsia="Times New Roman" w:hAnsiTheme="minorHAnsi" w:cstheme="minorHAnsi"/>
                <w:sz w:val="24"/>
                <w:szCs w:val="24"/>
                <w:lang w:val="uk-UA" w:eastAsia="ru-RU"/>
              </w:rPr>
              <w:t>1. Напрям вищої освіти за професійним спрямуванням –  29 Міжнародні відносини.</w:t>
            </w:r>
          </w:p>
          <w:p w:rsidR="00D719CC" w:rsidRPr="00A06500" w:rsidRDefault="00D719CC" w:rsidP="005523E4">
            <w:pPr>
              <w:ind w:firstLine="288"/>
              <w:jc w:val="both"/>
              <w:rPr>
                <w:rFonts w:asciiTheme="minorHAnsi" w:eastAsia="Times New Roman" w:hAnsiTheme="minorHAnsi" w:cstheme="minorHAnsi"/>
                <w:sz w:val="24"/>
                <w:szCs w:val="24"/>
                <w:lang w:val="uk-UA" w:eastAsia="ru-RU"/>
              </w:rPr>
            </w:pPr>
            <w:r w:rsidRPr="00A06500">
              <w:rPr>
                <w:rFonts w:asciiTheme="minorHAnsi" w:eastAsia="Times New Roman" w:hAnsiTheme="minorHAnsi" w:cstheme="minorHAnsi"/>
                <w:sz w:val="24"/>
                <w:szCs w:val="24"/>
                <w:lang w:val="uk-UA" w:eastAsia="ru-RU"/>
              </w:rPr>
              <w:t xml:space="preserve">2. Спеціальність – 291 </w:t>
            </w:r>
            <w:r w:rsidRPr="00A06500">
              <w:rPr>
                <w:rFonts w:asciiTheme="minorHAnsi" w:hAnsiTheme="minorHAnsi" w:cstheme="minorHAnsi"/>
                <w:color w:val="000000"/>
                <w:sz w:val="24"/>
                <w:szCs w:val="24"/>
                <w:lang w:val="uk-UA" w:eastAsia="ru-RU"/>
              </w:rPr>
              <w:t>Міжнародні відносини, суспільні комунікації та регіональні студії</w:t>
            </w:r>
            <w:r w:rsidRPr="00A06500">
              <w:rPr>
                <w:rFonts w:asciiTheme="minorHAnsi" w:eastAsia="Times New Roman" w:hAnsiTheme="minorHAnsi" w:cstheme="minorHAnsi"/>
                <w:sz w:val="24"/>
                <w:szCs w:val="24"/>
                <w:lang w:val="uk-UA" w:eastAsia="ru-RU"/>
              </w:rPr>
              <w:t>.</w:t>
            </w:r>
          </w:p>
          <w:p w:rsidR="00D719CC" w:rsidRPr="00A06500" w:rsidRDefault="00D719CC" w:rsidP="005523E4">
            <w:pPr>
              <w:ind w:firstLine="288"/>
              <w:jc w:val="both"/>
              <w:rPr>
                <w:rFonts w:asciiTheme="minorHAnsi" w:hAnsiTheme="minorHAnsi" w:cstheme="minorHAnsi"/>
                <w:sz w:val="24"/>
                <w:szCs w:val="24"/>
                <w:lang w:val="uk-UA"/>
              </w:rPr>
            </w:pPr>
            <w:r w:rsidRPr="00A06500">
              <w:rPr>
                <w:rFonts w:asciiTheme="minorHAnsi" w:eastAsia="Times New Roman" w:hAnsiTheme="minorHAnsi" w:cstheme="minorHAnsi"/>
                <w:sz w:val="24"/>
                <w:szCs w:val="24"/>
                <w:lang w:val="uk-UA" w:eastAsia="ru-RU"/>
              </w:rPr>
              <w:t xml:space="preserve">3. Кваліфікація – </w:t>
            </w:r>
            <w:r w:rsidR="00BB4A76" w:rsidRPr="00A06500">
              <w:rPr>
                <w:rFonts w:ascii="Calibri" w:eastAsia="Times New Roman" w:hAnsi="Calibri" w:cs="Calibri"/>
                <w:sz w:val="24"/>
                <w:szCs w:val="24"/>
                <w:lang w:val="uk-UA" w:eastAsia="ru-RU"/>
              </w:rPr>
              <w:t xml:space="preserve">Магістр з міжнародних відносин. Спеціалізація: </w:t>
            </w:r>
            <w:r w:rsidRPr="00A06500">
              <w:rPr>
                <w:rFonts w:ascii="Calibri" w:eastAsia="Times New Roman" w:hAnsi="Calibri" w:cs="Calibri"/>
                <w:sz w:val="24"/>
                <w:szCs w:val="24"/>
                <w:lang w:val="uk-UA" w:eastAsia="ru-RU"/>
              </w:rPr>
              <w:t>Європейське місцеве та регіональне вр</w:t>
            </w:r>
            <w:r w:rsidR="00BB4A76" w:rsidRPr="00A06500">
              <w:rPr>
                <w:rFonts w:ascii="Calibri" w:eastAsia="Times New Roman" w:hAnsi="Calibri" w:cs="Calibri"/>
                <w:sz w:val="24"/>
                <w:szCs w:val="24"/>
                <w:lang w:val="uk-UA" w:eastAsia="ru-RU"/>
              </w:rPr>
              <w:t>ядування</w:t>
            </w:r>
            <w:r w:rsidRPr="00A06500">
              <w:rPr>
                <w:rFonts w:ascii="Calibri" w:eastAsia="Times New Roman" w:hAnsi="Calibri" w:cs="Calibri"/>
                <w:sz w:val="24"/>
                <w:szCs w:val="24"/>
                <w:lang w:val="uk-UA" w:eastAsia="ru-RU"/>
              </w:rPr>
              <w:t>. Перекладач.</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lang w:val="uk-UA"/>
              </w:rPr>
              <w:t xml:space="preserve">Орієнтація освітньої програми </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ind w:firstLine="288"/>
              <w:jc w:val="both"/>
              <w:rPr>
                <w:rFonts w:asciiTheme="minorHAnsi" w:hAnsiTheme="minorHAnsi" w:cstheme="minorHAnsi"/>
                <w:b/>
                <w:sz w:val="24"/>
                <w:szCs w:val="24"/>
                <w:lang w:val="uk-UA"/>
              </w:rPr>
            </w:pPr>
            <w:r w:rsidRPr="00A06500">
              <w:rPr>
                <w:rFonts w:asciiTheme="minorHAnsi" w:hAnsiTheme="minorHAnsi" w:cstheme="minorHAnsi"/>
                <w:b/>
                <w:sz w:val="24"/>
                <w:szCs w:val="24"/>
                <w:lang w:val="uk-UA"/>
              </w:rPr>
              <w:t>Освітньо-професійна.</w:t>
            </w:r>
          </w:p>
          <w:p w:rsidR="00D719CC" w:rsidRPr="00A06500" w:rsidRDefault="00D719CC" w:rsidP="005523E4">
            <w:pPr>
              <w:ind w:firstLine="288"/>
              <w:jc w:val="both"/>
              <w:rPr>
                <w:rFonts w:ascii="Calibri" w:hAnsi="Calibri" w:cs="Calibri"/>
                <w:sz w:val="24"/>
                <w:szCs w:val="24"/>
                <w:lang w:val="uk-UA"/>
              </w:rPr>
            </w:pPr>
            <w:r w:rsidRPr="00A06500">
              <w:rPr>
                <w:rFonts w:asciiTheme="minorHAnsi" w:hAnsiTheme="minorHAnsi" w:cstheme="minorHAnsi"/>
                <w:sz w:val="24"/>
                <w:szCs w:val="24"/>
                <w:lang w:val="uk-UA"/>
              </w:rPr>
              <w:t>Програма</w:t>
            </w:r>
            <w:r w:rsidRPr="00A06500">
              <w:rPr>
                <w:lang w:val="uk-UA"/>
              </w:rPr>
              <w:t xml:space="preserve"> </w:t>
            </w:r>
            <w:r w:rsidR="00424407" w:rsidRPr="00A06500">
              <w:rPr>
                <w:rFonts w:ascii="Calibri" w:hAnsi="Calibri" w:cs="Calibri"/>
                <w:sz w:val="24"/>
                <w:szCs w:val="24"/>
                <w:lang w:val="uk-UA"/>
              </w:rPr>
              <w:t>спрямована на комплексне</w:t>
            </w:r>
            <w:r w:rsidRPr="00A06500">
              <w:rPr>
                <w:rFonts w:ascii="Calibri" w:hAnsi="Calibri" w:cs="Calibri"/>
                <w:sz w:val="24"/>
                <w:szCs w:val="24"/>
                <w:lang w:val="uk-UA"/>
              </w:rPr>
              <w:t xml:space="preserve"> вивчення </w:t>
            </w:r>
            <w:r w:rsidR="00AD6C6D" w:rsidRPr="00A06500">
              <w:rPr>
                <w:rFonts w:ascii="Calibri" w:hAnsi="Calibri" w:cs="Calibri"/>
                <w:sz w:val="24"/>
                <w:szCs w:val="24"/>
                <w:lang w:val="uk-UA"/>
              </w:rPr>
              <w:t xml:space="preserve">різних </w:t>
            </w:r>
            <w:r w:rsidRPr="00A06500">
              <w:rPr>
                <w:rFonts w:ascii="Calibri" w:hAnsi="Calibri" w:cs="Calibri"/>
                <w:sz w:val="24"/>
                <w:szCs w:val="24"/>
                <w:lang w:val="uk-UA"/>
              </w:rPr>
              <w:t xml:space="preserve">аспектів </w:t>
            </w:r>
            <w:r w:rsidR="00AD6C6D" w:rsidRPr="00A06500">
              <w:rPr>
                <w:rFonts w:ascii="Calibri" w:hAnsi="Calibri" w:cs="Calibri"/>
                <w:sz w:val="24"/>
                <w:szCs w:val="24"/>
                <w:lang w:val="uk-UA"/>
              </w:rPr>
              <w:t>взаємодії</w:t>
            </w:r>
            <w:r w:rsidR="000003BF" w:rsidRPr="00A06500">
              <w:rPr>
                <w:rFonts w:ascii="Calibri" w:hAnsi="Calibri" w:cs="Calibri"/>
                <w:sz w:val="24"/>
                <w:szCs w:val="24"/>
                <w:lang w:val="uk-UA"/>
              </w:rPr>
              <w:t xml:space="preserve"> різних</w:t>
            </w:r>
            <w:r w:rsidR="00AD6C6D" w:rsidRPr="00A06500">
              <w:rPr>
                <w:rFonts w:ascii="Calibri" w:hAnsi="Calibri" w:cs="Calibri"/>
                <w:sz w:val="24"/>
                <w:szCs w:val="24"/>
                <w:lang w:val="uk-UA"/>
              </w:rPr>
              <w:t xml:space="preserve"> учасників міжнародних відносин</w:t>
            </w:r>
            <w:r w:rsidR="00AD6C6D" w:rsidRPr="00A06500">
              <w:rPr>
                <w:lang w:val="uk-UA"/>
              </w:rPr>
              <w:t xml:space="preserve"> </w:t>
            </w:r>
            <w:r w:rsidR="00AD6C6D" w:rsidRPr="00A06500">
              <w:rPr>
                <w:rFonts w:ascii="Calibri" w:hAnsi="Calibri" w:cs="Calibri"/>
                <w:sz w:val="24"/>
                <w:szCs w:val="24"/>
                <w:lang w:val="uk-UA"/>
              </w:rPr>
              <w:t>на регіональному та локальному рівнях у контексті інтеграційних процесів</w:t>
            </w:r>
            <w:r w:rsidR="00A15305" w:rsidRPr="00A06500">
              <w:rPr>
                <w:rFonts w:ascii="Calibri" w:hAnsi="Calibri" w:cs="Calibri"/>
                <w:sz w:val="24"/>
                <w:szCs w:val="24"/>
                <w:lang w:val="uk-UA"/>
              </w:rPr>
              <w:t xml:space="preserve">. </w:t>
            </w:r>
            <w:r w:rsidR="00AD6C6D" w:rsidRPr="00A06500">
              <w:rPr>
                <w:rFonts w:ascii="Calibri" w:hAnsi="Calibri" w:cs="Calibri"/>
                <w:sz w:val="24"/>
                <w:szCs w:val="24"/>
                <w:lang w:val="uk-UA"/>
              </w:rPr>
              <w:t>Вона</w:t>
            </w:r>
            <w:r w:rsidRPr="00A06500">
              <w:rPr>
                <w:rFonts w:ascii="Calibri" w:hAnsi="Calibri" w:cs="Calibri"/>
                <w:sz w:val="24"/>
                <w:szCs w:val="24"/>
                <w:lang w:val="uk-UA"/>
              </w:rPr>
              <w:t xml:space="preserve"> </w:t>
            </w:r>
            <w:r w:rsidR="00AD6C6D" w:rsidRPr="00A06500">
              <w:rPr>
                <w:rFonts w:ascii="Calibri" w:hAnsi="Calibri" w:cs="Calibri"/>
                <w:sz w:val="24"/>
                <w:szCs w:val="24"/>
                <w:lang w:val="uk-UA"/>
              </w:rPr>
              <w:t xml:space="preserve">покликана підготувати фахівців, які ґрунтовно володіють </w:t>
            </w:r>
            <w:proofErr w:type="spellStart"/>
            <w:r w:rsidR="00AD6C6D" w:rsidRPr="00A06500">
              <w:rPr>
                <w:rFonts w:ascii="Calibri" w:hAnsi="Calibri" w:cs="Calibri"/>
                <w:sz w:val="24"/>
                <w:szCs w:val="24"/>
                <w:lang w:val="uk-UA"/>
              </w:rPr>
              <w:t>категорійно</w:t>
            </w:r>
            <w:proofErr w:type="spellEnd"/>
            <w:r w:rsidR="00AD6C6D" w:rsidRPr="00A06500">
              <w:rPr>
                <w:rFonts w:ascii="Calibri" w:hAnsi="Calibri" w:cs="Calibri"/>
                <w:sz w:val="24"/>
                <w:szCs w:val="24"/>
                <w:lang w:val="uk-UA"/>
              </w:rPr>
              <w:t xml:space="preserve">-понятійним та аналітично-дослідницьким апаратом у сфері дослідження міжнародних відносин </w:t>
            </w:r>
            <w:r w:rsidR="00424407" w:rsidRPr="00A06500">
              <w:rPr>
                <w:rFonts w:ascii="Calibri" w:hAnsi="Calibri" w:cs="Calibri"/>
                <w:sz w:val="24"/>
                <w:szCs w:val="24"/>
                <w:lang w:val="uk-UA"/>
              </w:rPr>
              <w:t>і</w:t>
            </w:r>
            <w:r w:rsidR="00AD6C6D" w:rsidRPr="00A06500">
              <w:rPr>
                <w:rFonts w:ascii="Calibri" w:hAnsi="Calibri" w:cs="Calibri"/>
                <w:sz w:val="24"/>
                <w:szCs w:val="24"/>
                <w:lang w:val="uk-UA"/>
              </w:rPr>
              <w:t xml:space="preserve"> європейської інтеграції</w:t>
            </w:r>
            <w:r w:rsidR="00D939C3" w:rsidRPr="00A06500">
              <w:rPr>
                <w:rFonts w:ascii="Calibri" w:hAnsi="Calibri" w:cs="Calibri"/>
                <w:sz w:val="24"/>
                <w:szCs w:val="24"/>
                <w:lang w:val="uk-UA"/>
              </w:rPr>
              <w:t xml:space="preserve"> та </w:t>
            </w:r>
            <w:r w:rsidR="00AD6C6D" w:rsidRPr="00A06500">
              <w:rPr>
                <w:rFonts w:ascii="Calibri" w:hAnsi="Calibri" w:cs="Calibri"/>
                <w:sz w:val="24"/>
                <w:szCs w:val="24"/>
                <w:lang w:val="uk-UA"/>
              </w:rPr>
              <w:t xml:space="preserve">отримали </w:t>
            </w:r>
            <w:r w:rsidR="00F10AE8" w:rsidRPr="00A06500">
              <w:rPr>
                <w:rFonts w:ascii="Calibri" w:hAnsi="Calibri" w:cs="Calibri"/>
                <w:sz w:val="24"/>
                <w:szCs w:val="24"/>
                <w:lang w:val="uk-UA"/>
              </w:rPr>
              <w:t xml:space="preserve">поглиблені </w:t>
            </w:r>
            <w:r w:rsidR="00AD6C6D" w:rsidRPr="00A06500">
              <w:rPr>
                <w:rFonts w:ascii="Calibri" w:hAnsi="Calibri" w:cs="Calibri"/>
                <w:sz w:val="24"/>
                <w:szCs w:val="24"/>
                <w:lang w:val="uk-UA"/>
              </w:rPr>
              <w:t>знання</w:t>
            </w:r>
            <w:r w:rsidRPr="00A06500">
              <w:rPr>
                <w:rFonts w:ascii="Calibri" w:hAnsi="Calibri" w:cs="Calibri"/>
                <w:sz w:val="24"/>
                <w:szCs w:val="24"/>
                <w:lang w:val="uk-UA"/>
              </w:rPr>
              <w:t xml:space="preserve"> </w:t>
            </w:r>
            <w:r w:rsidR="00AD6C6D" w:rsidRPr="00A06500">
              <w:rPr>
                <w:rFonts w:ascii="Calibri" w:hAnsi="Calibri" w:cs="Calibri"/>
                <w:sz w:val="24"/>
                <w:szCs w:val="24"/>
                <w:lang w:val="uk-UA"/>
              </w:rPr>
              <w:t xml:space="preserve">про </w:t>
            </w:r>
            <w:r w:rsidR="00080B3E" w:rsidRPr="00A06500">
              <w:rPr>
                <w:rFonts w:ascii="Calibri" w:hAnsi="Calibri" w:cs="Calibri"/>
                <w:sz w:val="24"/>
                <w:szCs w:val="24"/>
                <w:lang w:val="uk-UA"/>
              </w:rPr>
              <w:t xml:space="preserve">особливості </w:t>
            </w:r>
            <w:r w:rsidR="00A15305" w:rsidRPr="00A06500">
              <w:rPr>
                <w:rFonts w:ascii="Calibri" w:hAnsi="Calibri" w:cs="Calibri"/>
                <w:sz w:val="24"/>
                <w:szCs w:val="24"/>
                <w:lang w:val="uk-UA"/>
              </w:rPr>
              <w:t>врядування</w:t>
            </w:r>
            <w:r w:rsidR="00080B3E" w:rsidRPr="00A06500">
              <w:rPr>
                <w:rFonts w:ascii="Calibri" w:hAnsi="Calibri" w:cs="Calibri"/>
                <w:sz w:val="24"/>
                <w:szCs w:val="24"/>
                <w:lang w:val="uk-UA"/>
              </w:rPr>
              <w:t xml:space="preserve"> </w:t>
            </w:r>
            <w:r w:rsidR="00A15305" w:rsidRPr="00A06500">
              <w:rPr>
                <w:rFonts w:ascii="Calibri" w:hAnsi="Calibri" w:cs="Calibri"/>
                <w:sz w:val="24"/>
                <w:szCs w:val="24"/>
                <w:lang w:val="uk-UA"/>
              </w:rPr>
              <w:t xml:space="preserve"> Європейського Союзу. </w:t>
            </w:r>
            <w:r w:rsidRPr="00A06500">
              <w:rPr>
                <w:rFonts w:asciiTheme="minorHAnsi" w:hAnsiTheme="minorHAnsi" w:cstheme="minorHAnsi"/>
                <w:sz w:val="24"/>
                <w:szCs w:val="24"/>
                <w:lang w:val="uk-UA"/>
              </w:rPr>
              <w:t xml:space="preserve">Програма передбачає </w:t>
            </w:r>
            <w:r w:rsidR="00D939C3" w:rsidRPr="00A06500">
              <w:rPr>
                <w:rFonts w:asciiTheme="minorHAnsi" w:hAnsiTheme="minorHAnsi" w:cstheme="minorHAnsi"/>
                <w:sz w:val="24"/>
                <w:szCs w:val="24"/>
                <w:lang w:val="uk-UA"/>
              </w:rPr>
              <w:t xml:space="preserve">вивчення та активне </w:t>
            </w:r>
            <w:r w:rsidRPr="00A06500">
              <w:rPr>
                <w:rFonts w:asciiTheme="minorHAnsi" w:hAnsiTheme="minorHAnsi" w:cstheme="minorHAnsi"/>
                <w:sz w:val="24"/>
                <w:szCs w:val="24"/>
                <w:lang w:val="uk-UA"/>
              </w:rPr>
              <w:t>використання іноземних мов за фахом.</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lang w:val="uk-UA"/>
              </w:rPr>
              <w:t>Основний фокус освітньої програми</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ind w:firstLine="288"/>
              <w:jc w:val="both"/>
              <w:rPr>
                <w:rFonts w:ascii="Calibri" w:hAnsi="Calibri" w:cs="Calibri"/>
                <w:color w:val="000000"/>
                <w:sz w:val="24"/>
                <w:szCs w:val="24"/>
                <w:lang w:val="uk-UA"/>
              </w:rPr>
            </w:pPr>
            <w:r w:rsidRPr="00A06500">
              <w:rPr>
                <w:rFonts w:ascii="Calibri" w:hAnsi="Calibri" w:cs="Calibri"/>
                <w:b/>
                <w:color w:val="000000"/>
                <w:sz w:val="24"/>
                <w:szCs w:val="24"/>
                <w:lang w:val="uk-UA"/>
              </w:rPr>
              <w:t xml:space="preserve">Об’єкти вивчення </w:t>
            </w:r>
            <w:r w:rsidRPr="00A06500">
              <w:rPr>
                <w:rFonts w:ascii="Calibri" w:hAnsi="Calibri" w:cs="Calibri"/>
                <w:color w:val="000000"/>
                <w:sz w:val="24"/>
                <w:szCs w:val="24"/>
                <w:lang w:val="uk-UA"/>
              </w:rPr>
              <w:t xml:space="preserve">— міжнародні відносини, транскордонні та транснаціональні відносини, </w:t>
            </w:r>
            <w:r w:rsidR="004E5C5F" w:rsidRPr="00A06500">
              <w:rPr>
                <w:rFonts w:ascii="Calibri" w:hAnsi="Calibri" w:cs="Calibri"/>
                <w:color w:val="000000"/>
                <w:sz w:val="24"/>
                <w:szCs w:val="24"/>
                <w:lang w:val="uk-UA"/>
              </w:rPr>
              <w:t xml:space="preserve">європейські інтеграційні процеси, </w:t>
            </w:r>
            <w:r w:rsidR="00424407" w:rsidRPr="00A06500">
              <w:rPr>
                <w:rFonts w:ascii="Calibri" w:hAnsi="Calibri" w:cs="Calibri"/>
                <w:color w:val="000000"/>
                <w:sz w:val="24"/>
                <w:szCs w:val="24"/>
                <w:lang w:val="uk-UA"/>
              </w:rPr>
              <w:t>джерела зовнішньої політики</w:t>
            </w:r>
            <w:r w:rsidRPr="00A06500">
              <w:rPr>
                <w:rFonts w:ascii="Calibri" w:hAnsi="Calibri" w:cs="Calibri"/>
                <w:color w:val="000000"/>
                <w:sz w:val="24"/>
                <w:szCs w:val="24"/>
                <w:lang w:val="uk-UA"/>
              </w:rPr>
              <w:t xml:space="preserve"> держав, </w:t>
            </w:r>
            <w:r w:rsidR="00B10210" w:rsidRPr="00A06500">
              <w:rPr>
                <w:rFonts w:ascii="Calibri" w:hAnsi="Calibri" w:cs="Calibri"/>
                <w:color w:val="000000"/>
                <w:sz w:val="24"/>
                <w:szCs w:val="24"/>
                <w:lang w:val="uk-UA"/>
              </w:rPr>
              <w:t>суб’єктність недержавних акторів у міжнародних відносинах</w:t>
            </w:r>
            <w:r w:rsidRPr="00A06500">
              <w:rPr>
                <w:rFonts w:ascii="Calibri" w:hAnsi="Calibri" w:cs="Calibri"/>
                <w:color w:val="000000"/>
                <w:sz w:val="24"/>
                <w:szCs w:val="24"/>
                <w:lang w:val="uk-UA"/>
              </w:rPr>
              <w:t xml:space="preserve">, </w:t>
            </w:r>
            <w:r w:rsidR="00B10210" w:rsidRPr="00A06500">
              <w:rPr>
                <w:rFonts w:ascii="Calibri" w:hAnsi="Calibri" w:cs="Calibri"/>
                <w:color w:val="000000"/>
                <w:sz w:val="24"/>
                <w:szCs w:val="24"/>
                <w:lang w:val="uk-UA"/>
              </w:rPr>
              <w:t>особливості взаємодії різних учасників міжнародних відносин</w:t>
            </w:r>
            <w:r w:rsidRPr="00A06500">
              <w:rPr>
                <w:rFonts w:ascii="Calibri" w:hAnsi="Calibri" w:cs="Calibri"/>
                <w:color w:val="000000"/>
                <w:sz w:val="24"/>
                <w:szCs w:val="24"/>
                <w:lang w:val="uk-UA"/>
              </w:rPr>
              <w:t xml:space="preserve"> на</w:t>
            </w:r>
            <w:r w:rsidR="00D939C3" w:rsidRPr="00A06500">
              <w:rPr>
                <w:rFonts w:ascii="Calibri" w:hAnsi="Calibri" w:cs="Calibri"/>
                <w:color w:val="000000"/>
                <w:sz w:val="24"/>
                <w:szCs w:val="24"/>
                <w:lang w:val="uk-UA"/>
              </w:rPr>
              <w:t xml:space="preserve"> </w:t>
            </w:r>
            <w:r w:rsidRPr="00A06500">
              <w:rPr>
                <w:rFonts w:ascii="Calibri" w:hAnsi="Calibri" w:cs="Calibri"/>
                <w:color w:val="000000"/>
                <w:sz w:val="24"/>
                <w:szCs w:val="24"/>
                <w:lang w:val="uk-UA"/>
              </w:rPr>
              <w:t>регіональному та локальному рівнях, методології та методи міжнародно-політичних досліджень.</w:t>
            </w:r>
          </w:p>
          <w:p w:rsidR="00D719CC" w:rsidRPr="00A06500" w:rsidRDefault="00D719CC" w:rsidP="005523E4">
            <w:pPr>
              <w:ind w:firstLine="288"/>
              <w:jc w:val="both"/>
              <w:rPr>
                <w:rFonts w:ascii="Calibri" w:hAnsi="Calibri" w:cs="Calibri"/>
                <w:color w:val="000000"/>
                <w:sz w:val="24"/>
                <w:szCs w:val="24"/>
                <w:lang w:val="uk-UA"/>
              </w:rPr>
            </w:pPr>
            <w:r w:rsidRPr="00A06500">
              <w:rPr>
                <w:rFonts w:ascii="Calibri" w:hAnsi="Calibri" w:cs="Calibri"/>
                <w:b/>
                <w:color w:val="000000"/>
                <w:sz w:val="24"/>
                <w:szCs w:val="24"/>
                <w:lang w:val="uk-UA"/>
              </w:rPr>
              <w:t xml:space="preserve">Цілі навчання </w:t>
            </w:r>
            <w:r w:rsidRPr="00A06500">
              <w:rPr>
                <w:rFonts w:ascii="Calibri" w:hAnsi="Calibri" w:cs="Calibri"/>
                <w:color w:val="000000"/>
                <w:sz w:val="24"/>
                <w:szCs w:val="24"/>
                <w:lang w:val="uk-UA"/>
              </w:rPr>
              <w:t xml:space="preserve">– </w:t>
            </w:r>
            <w:r w:rsidR="004E5C5F" w:rsidRPr="00A06500">
              <w:rPr>
                <w:rFonts w:ascii="Calibri" w:hAnsi="Calibri" w:cs="Calibri"/>
                <w:color w:val="000000"/>
                <w:sz w:val="24"/>
                <w:szCs w:val="24"/>
                <w:lang w:val="uk-UA"/>
              </w:rPr>
              <w:t xml:space="preserve">формування та розвиток загальних і професійних </w:t>
            </w:r>
            <w:proofErr w:type="spellStart"/>
            <w:r w:rsidR="004E5C5F" w:rsidRPr="00A06500">
              <w:rPr>
                <w:rFonts w:ascii="Calibri" w:hAnsi="Calibri" w:cs="Calibri"/>
                <w:color w:val="000000"/>
                <w:sz w:val="24"/>
                <w:szCs w:val="24"/>
                <w:lang w:val="uk-UA"/>
              </w:rPr>
              <w:t>компетентностей</w:t>
            </w:r>
            <w:proofErr w:type="spellEnd"/>
            <w:r w:rsidR="004E5C5F" w:rsidRPr="00A06500">
              <w:rPr>
                <w:rFonts w:ascii="Calibri" w:hAnsi="Calibri" w:cs="Calibri"/>
                <w:color w:val="000000"/>
                <w:sz w:val="24"/>
                <w:szCs w:val="24"/>
                <w:lang w:val="uk-UA"/>
              </w:rPr>
              <w:t xml:space="preserve"> і</w:t>
            </w:r>
            <w:r w:rsidR="00A15305" w:rsidRPr="00A06500">
              <w:rPr>
                <w:rFonts w:ascii="Calibri" w:hAnsi="Calibri" w:cs="Calibri"/>
                <w:color w:val="000000"/>
                <w:sz w:val="24"/>
                <w:szCs w:val="24"/>
                <w:lang w:val="uk-UA"/>
              </w:rPr>
              <w:t xml:space="preserve"> здобуття</w:t>
            </w:r>
            <w:r w:rsidRPr="00A06500">
              <w:rPr>
                <w:rFonts w:ascii="Calibri" w:hAnsi="Calibri" w:cs="Calibri"/>
                <w:color w:val="000000"/>
                <w:sz w:val="24"/>
                <w:szCs w:val="24"/>
                <w:lang w:val="uk-UA"/>
              </w:rPr>
              <w:t xml:space="preserve"> </w:t>
            </w:r>
            <w:r w:rsidR="004E5C5F" w:rsidRPr="00A06500">
              <w:rPr>
                <w:rFonts w:ascii="Calibri" w:hAnsi="Calibri" w:cs="Calibri"/>
                <w:color w:val="000000"/>
                <w:sz w:val="24"/>
                <w:szCs w:val="24"/>
                <w:lang w:val="uk-UA"/>
              </w:rPr>
              <w:t xml:space="preserve">ґрунтовних знань із теорії та практики </w:t>
            </w:r>
            <w:r w:rsidRPr="00A06500">
              <w:rPr>
                <w:rFonts w:ascii="Calibri" w:hAnsi="Calibri" w:cs="Calibri"/>
                <w:color w:val="000000"/>
                <w:sz w:val="24"/>
                <w:szCs w:val="24"/>
                <w:lang w:val="uk-UA"/>
              </w:rPr>
              <w:t>м</w:t>
            </w:r>
            <w:r w:rsidR="00B10210" w:rsidRPr="00A06500">
              <w:rPr>
                <w:rFonts w:ascii="Calibri" w:hAnsi="Calibri" w:cs="Calibri"/>
                <w:color w:val="000000"/>
                <w:sz w:val="24"/>
                <w:szCs w:val="24"/>
                <w:lang w:val="uk-UA"/>
              </w:rPr>
              <w:t>іжнародних відн</w:t>
            </w:r>
            <w:r w:rsidR="000003BF" w:rsidRPr="00A06500">
              <w:rPr>
                <w:rFonts w:ascii="Calibri" w:hAnsi="Calibri" w:cs="Calibri"/>
                <w:color w:val="000000"/>
                <w:sz w:val="24"/>
                <w:szCs w:val="24"/>
                <w:lang w:val="uk-UA"/>
              </w:rPr>
              <w:t>осин,</w:t>
            </w:r>
            <w:r w:rsidRPr="00A06500">
              <w:rPr>
                <w:rFonts w:ascii="Calibri" w:hAnsi="Calibri" w:cs="Calibri"/>
                <w:color w:val="000000"/>
                <w:sz w:val="24"/>
                <w:szCs w:val="24"/>
                <w:lang w:val="uk-UA"/>
              </w:rPr>
              <w:t xml:space="preserve"> </w:t>
            </w:r>
            <w:r w:rsidR="00B10210" w:rsidRPr="00A06500">
              <w:rPr>
                <w:rFonts w:ascii="Calibri" w:hAnsi="Calibri" w:cs="Calibri"/>
                <w:color w:val="000000"/>
                <w:sz w:val="24"/>
                <w:szCs w:val="24"/>
                <w:lang w:val="uk-UA"/>
              </w:rPr>
              <w:t>інтеграційних процесів, особливостей діяльності недержавних акторів у різних сферах міжнародних відносин</w:t>
            </w:r>
            <w:r w:rsidRPr="00A06500">
              <w:rPr>
                <w:rFonts w:ascii="Calibri" w:hAnsi="Calibri" w:cs="Calibri"/>
                <w:color w:val="000000"/>
                <w:sz w:val="24"/>
                <w:szCs w:val="24"/>
                <w:lang w:val="uk-UA"/>
              </w:rPr>
              <w:t xml:space="preserve"> для ефективної роботи в сферах зовнішньої політики та міжнародного співробітництва, </w:t>
            </w:r>
            <w:r w:rsidR="005E0D4F" w:rsidRPr="00A06500">
              <w:rPr>
                <w:rFonts w:ascii="Calibri" w:hAnsi="Calibri" w:cs="Calibri"/>
                <w:color w:val="000000"/>
                <w:sz w:val="24"/>
                <w:szCs w:val="24"/>
                <w:lang w:val="uk-UA"/>
              </w:rPr>
              <w:t xml:space="preserve">зокрема в </w:t>
            </w:r>
            <w:r w:rsidR="00A455AB" w:rsidRPr="00A06500">
              <w:rPr>
                <w:rFonts w:ascii="Calibri" w:hAnsi="Calibri" w:cs="Calibri"/>
                <w:color w:val="000000"/>
                <w:sz w:val="24"/>
                <w:szCs w:val="24"/>
                <w:lang w:val="uk-UA"/>
              </w:rPr>
              <w:t xml:space="preserve">органах державної влади і </w:t>
            </w:r>
            <w:r w:rsidR="00B10210" w:rsidRPr="00A06500">
              <w:rPr>
                <w:rFonts w:ascii="Calibri" w:hAnsi="Calibri" w:cs="Calibri"/>
                <w:color w:val="000000"/>
                <w:sz w:val="24"/>
                <w:szCs w:val="24"/>
                <w:lang w:val="uk-UA"/>
              </w:rPr>
              <w:t>органах місцевого самоврядування</w:t>
            </w:r>
            <w:r w:rsidRPr="00A06500">
              <w:rPr>
                <w:rFonts w:ascii="Calibri" w:hAnsi="Calibri" w:cs="Calibri"/>
                <w:color w:val="000000"/>
                <w:sz w:val="24"/>
                <w:szCs w:val="24"/>
                <w:lang w:val="uk-UA"/>
              </w:rPr>
              <w:t>, освітніх та нау</w:t>
            </w:r>
            <w:r w:rsidR="005523E4" w:rsidRPr="00A06500">
              <w:rPr>
                <w:rFonts w:ascii="Calibri" w:hAnsi="Calibri" w:cs="Calibri"/>
                <w:color w:val="000000"/>
                <w:sz w:val="24"/>
                <w:szCs w:val="24"/>
                <w:lang w:val="uk-UA"/>
              </w:rPr>
              <w:t>ково-дослідницьких інституціях.</w:t>
            </w:r>
          </w:p>
          <w:p w:rsidR="00D719CC" w:rsidRPr="00A06500" w:rsidRDefault="00D719CC" w:rsidP="005523E4">
            <w:pPr>
              <w:ind w:firstLine="288"/>
              <w:jc w:val="both"/>
              <w:rPr>
                <w:rFonts w:ascii="Calibri" w:hAnsi="Calibri" w:cs="Calibri"/>
                <w:b/>
                <w:color w:val="000000"/>
                <w:sz w:val="24"/>
                <w:szCs w:val="24"/>
                <w:lang w:val="uk-UA"/>
              </w:rPr>
            </w:pPr>
            <w:r w:rsidRPr="00A06500">
              <w:rPr>
                <w:rFonts w:ascii="Calibri" w:hAnsi="Calibri" w:cs="Calibri"/>
                <w:b/>
                <w:color w:val="000000"/>
                <w:sz w:val="24"/>
                <w:szCs w:val="24"/>
                <w:lang w:val="uk-UA"/>
              </w:rPr>
              <w:t xml:space="preserve">Теоретичний зміст предметної області </w:t>
            </w:r>
            <w:r w:rsidRPr="00A06500">
              <w:rPr>
                <w:rFonts w:ascii="Calibri" w:hAnsi="Calibri" w:cs="Calibri"/>
                <w:color w:val="000000"/>
                <w:sz w:val="24"/>
                <w:szCs w:val="24"/>
                <w:lang w:val="uk-UA"/>
              </w:rPr>
              <w:t xml:space="preserve">– </w:t>
            </w:r>
            <w:r w:rsidR="004E5C5F" w:rsidRPr="00A06500">
              <w:rPr>
                <w:rFonts w:ascii="Calibri" w:hAnsi="Calibri" w:cs="Calibri"/>
                <w:color w:val="000000"/>
                <w:sz w:val="24"/>
                <w:szCs w:val="24"/>
                <w:lang w:val="uk-UA"/>
              </w:rPr>
              <w:t xml:space="preserve">охоплює широкий спектр теорій та концепцій </w:t>
            </w:r>
            <w:r w:rsidR="00A455AB" w:rsidRPr="00A06500">
              <w:rPr>
                <w:rFonts w:ascii="Calibri" w:hAnsi="Calibri" w:cs="Calibri"/>
                <w:color w:val="000000"/>
                <w:sz w:val="24"/>
                <w:szCs w:val="24"/>
                <w:lang w:val="uk-UA"/>
              </w:rPr>
              <w:t xml:space="preserve">з міжнародних відносин та </w:t>
            </w:r>
            <w:r w:rsidR="00424407" w:rsidRPr="00A06500">
              <w:rPr>
                <w:rFonts w:ascii="Calibri" w:hAnsi="Calibri" w:cs="Calibri"/>
                <w:color w:val="000000"/>
                <w:sz w:val="24"/>
                <w:szCs w:val="24"/>
                <w:lang w:val="uk-UA"/>
              </w:rPr>
              <w:t>європейської інтеграції</w:t>
            </w:r>
            <w:r w:rsidR="004E5C5F" w:rsidRPr="00A06500">
              <w:rPr>
                <w:rFonts w:ascii="Calibri" w:hAnsi="Calibri" w:cs="Calibri"/>
                <w:color w:val="000000"/>
                <w:sz w:val="24"/>
                <w:szCs w:val="24"/>
                <w:lang w:val="uk-UA"/>
              </w:rPr>
              <w:t xml:space="preserve"> з урахуванням особливостей суб’єктності недержавних акторів. </w:t>
            </w:r>
            <w:r w:rsidRPr="00A06500">
              <w:rPr>
                <w:rFonts w:ascii="Calibri" w:hAnsi="Calibri" w:cs="Calibri"/>
                <w:color w:val="000000"/>
                <w:sz w:val="24"/>
                <w:szCs w:val="24"/>
                <w:lang w:val="uk-UA"/>
              </w:rPr>
              <w:t xml:space="preserve"> </w:t>
            </w:r>
          </w:p>
          <w:p w:rsidR="00D719CC" w:rsidRPr="00A06500" w:rsidRDefault="00D719CC" w:rsidP="005523E4">
            <w:pPr>
              <w:shd w:val="clear" w:color="auto" w:fill="FFFFFF"/>
              <w:ind w:firstLine="288"/>
              <w:jc w:val="both"/>
              <w:textAlignment w:val="baseline"/>
              <w:rPr>
                <w:rFonts w:asciiTheme="minorHAnsi" w:hAnsiTheme="minorHAnsi" w:cstheme="minorHAnsi"/>
                <w:sz w:val="24"/>
                <w:szCs w:val="24"/>
                <w:lang w:val="uk-UA"/>
              </w:rPr>
            </w:pPr>
            <w:r w:rsidRPr="00A06500">
              <w:rPr>
                <w:rFonts w:ascii="Calibri" w:hAnsi="Calibri" w:cs="Calibri"/>
                <w:b/>
                <w:color w:val="000000"/>
                <w:sz w:val="24"/>
                <w:szCs w:val="24"/>
                <w:lang w:val="uk-UA"/>
              </w:rPr>
              <w:t xml:space="preserve">Методи, методики та технології </w:t>
            </w:r>
            <w:r w:rsidR="00A15305" w:rsidRPr="00A06500">
              <w:rPr>
                <w:rFonts w:ascii="Calibri" w:hAnsi="Calibri" w:cs="Calibri"/>
                <w:color w:val="000000"/>
                <w:sz w:val="24"/>
                <w:szCs w:val="24"/>
                <w:lang w:val="uk-UA"/>
              </w:rPr>
              <w:t>–</w:t>
            </w:r>
            <w:r w:rsidR="00080B3E" w:rsidRPr="00A06500">
              <w:rPr>
                <w:rFonts w:ascii="Calibri" w:hAnsi="Calibri" w:cs="Calibri"/>
                <w:color w:val="000000"/>
                <w:sz w:val="24"/>
                <w:szCs w:val="24"/>
                <w:lang w:val="uk-UA"/>
              </w:rPr>
              <w:t xml:space="preserve"> послугування</w:t>
            </w:r>
            <w:r w:rsidR="00A15305" w:rsidRPr="00A06500">
              <w:rPr>
                <w:rFonts w:ascii="Calibri" w:hAnsi="Calibri" w:cs="Calibri"/>
                <w:color w:val="000000"/>
                <w:sz w:val="24"/>
                <w:szCs w:val="24"/>
                <w:lang w:val="uk-UA"/>
              </w:rPr>
              <w:t xml:space="preserve"> </w:t>
            </w:r>
            <w:r w:rsidR="00080B3E" w:rsidRPr="00A06500">
              <w:rPr>
                <w:rFonts w:ascii="Calibri" w:hAnsi="Calibri" w:cs="Calibri"/>
                <w:color w:val="000000"/>
                <w:sz w:val="24"/>
                <w:szCs w:val="24"/>
                <w:lang w:val="uk-UA"/>
              </w:rPr>
              <w:t>сучасною методологією суспільних наук, зокрема інструментарієм прикладного аналізу</w:t>
            </w:r>
            <w:r w:rsidR="00A15305" w:rsidRPr="00A06500">
              <w:rPr>
                <w:rFonts w:ascii="Calibri" w:hAnsi="Calibri" w:cs="Calibri"/>
                <w:color w:val="000000"/>
                <w:sz w:val="24"/>
                <w:szCs w:val="24"/>
                <w:lang w:val="uk-UA"/>
              </w:rPr>
              <w:t>; використ</w:t>
            </w:r>
            <w:r w:rsidR="00080B3E" w:rsidRPr="00A06500">
              <w:rPr>
                <w:rFonts w:ascii="Calibri" w:hAnsi="Calibri" w:cs="Calibri"/>
                <w:color w:val="000000"/>
                <w:sz w:val="24"/>
                <w:szCs w:val="24"/>
                <w:lang w:val="uk-UA"/>
              </w:rPr>
              <w:t>ання</w:t>
            </w:r>
            <w:r w:rsidR="00A15305" w:rsidRPr="00A06500">
              <w:rPr>
                <w:rFonts w:ascii="Calibri" w:hAnsi="Calibri" w:cs="Calibri"/>
                <w:color w:val="000000"/>
                <w:sz w:val="24"/>
                <w:szCs w:val="24"/>
                <w:lang w:val="uk-UA"/>
              </w:rPr>
              <w:t xml:space="preserve"> на належному рівні </w:t>
            </w:r>
            <w:r w:rsidR="00080B3E" w:rsidRPr="00A06500">
              <w:rPr>
                <w:rFonts w:ascii="Calibri" w:hAnsi="Calibri" w:cs="Calibri"/>
                <w:color w:val="000000"/>
                <w:sz w:val="24"/>
                <w:szCs w:val="24"/>
                <w:lang w:val="uk-UA"/>
              </w:rPr>
              <w:t>іноземних мов</w:t>
            </w:r>
            <w:r w:rsidR="006F0F13" w:rsidRPr="00A06500">
              <w:rPr>
                <w:rFonts w:ascii="Calibri" w:hAnsi="Calibri" w:cs="Calibri"/>
                <w:color w:val="000000"/>
                <w:sz w:val="24"/>
                <w:szCs w:val="24"/>
                <w:lang w:val="uk-UA"/>
              </w:rPr>
              <w:t xml:space="preserve"> у фаховій діяльності</w:t>
            </w:r>
            <w:r w:rsidR="00A15305" w:rsidRPr="00A06500">
              <w:rPr>
                <w:rFonts w:ascii="Calibri" w:hAnsi="Calibri" w:cs="Calibri"/>
                <w:color w:val="000000"/>
                <w:sz w:val="24"/>
                <w:szCs w:val="24"/>
                <w:lang w:val="uk-UA"/>
              </w:rPr>
              <w:t>.</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lang w:val="uk-UA"/>
              </w:rPr>
              <w:lastRenderedPageBreak/>
              <w:t>Особливості програми</w:t>
            </w:r>
          </w:p>
        </w:tc>
        <w:tc>
          <w:tcPr>
            <w:tcW w:w="6241" w:type="dxa"/>
            <w:tcBorders>
              <w:top w:val="single" w:sz="4" w:space="0" w:color="000000"/>
              <w:left w:val="single" w:sz="4" w:space="0" w:color="000000"/>
              <w:bottom w:val="single" w:sz="4" w:space="0" w:color="000000"/>
              <w:right w:val="single" w:sz="4" w:space="0" w:color="000000"/>
            </w:tcBorders>
          </w:tcPr>
          <w:p w:rsidR="000003BF" w:rsidRPr="00A06500" w:rsidRDefault="00D719CC" w:rsidP="005523E4">
            <w:pPr>
              <w:ind w:firstLine="288"/>
              <w:jc w:val="both"/>
              <w:rPr>
                <w:rFonts w:asciiTheme="minorHAnsi" w:hAnsiTheme="minorHAnsi" w:cstheme="minorHAnsi"/>
                <w:sz w:val="24"/>
                <w:szCs w:val="24"/>
                <w:lang w:val="uk-UA"/>
              </w:rPr>
            </w:pPr>
            <w:r w:rsidRPr="00A06500">
              <w:rPr>
                <w:rFonts w:asciiTheme="minorHAnsi" w:hAnsiTheme="minorHAnsi" w:cstheme="minorHAnsi"/>
                <w:sz w:val="24"/>
                <w:szCs w:val="24"/>
                <w:lang w:val="uk-UA"/>
              </w:rPr>
              <w:t>Міждисциплінарна</w:t>
            </w:r>
            <w:r w:rsidR="00A15305" w:rsidRPr="00A06500">
              <w:rPr>
                <w:rFonts w:asciiTheme="minorHAnsi" w:hAnsiTheme="minorHAnsi" w:cstheme="minorHAnsi"/>
                <w:sz w:val="24"/>
                <w:szCs w:val="24"/>
                <w:lang w:val="uk-UA"/>
              </w:rPr>
              <w:t xml:space="preserve"> за своєю структурою</w:t>
            </w:r>
            <w:r w:rsidRPr="00A06500">
              <w:rPr>
                <w:rFonts w:asciiTheme="minorHAnsi" w:hAnsiTheme="minorHAnsi" w:cstheme="minorHAnsi"/>
                <w:sz w:val="24"/>
                <w:szCs w:val="24"/>
                <w:lang w:val="uk-UA"/>
              </w:rPr>
              <w:t>,</w:t>
            </w:r>
            <w:r w:rsidR="00A15305" w:rsidRPr="00A06500">
              <w:rPr>
                <w:rFonts w:asciiTheme="minorHAnsi" w:hAnsiTheme="minorHAnsi" w:cstheme="minorHAnsi"/>
                <w:sz w:val="24"/>
                <w:szCs w:val="24"/>
                <w:lang w:val="uk-UA"/>
              </w:rPr>
              <w:t xml:space="preserve"> ця освітня програма</w:t>
            </w:r>
            <w:r w:rsidRPr="00A06500">
              <w:rPr>
                <w:rFonts w:asciiTheme="minorHAnsi" w:hAnsiTheme="minorHAnsi" w:cstheme="minorHAnsi"/>
                <w:sz w:val="24"/>
                <w:szCs w:val="24"/>
                <w:lang w:val="uk-UA"/>
              </w:rPr>
              <w:t xml:space="preserve"> </w:t>
            </w:r>
            <w:r w:rsidR="00A15305" w:rsidRPr="00A06500">
              <w:rPr>
                <w:rFonts w:asciiTheme="minorHAnsi" w:hAnsiTheme="minorHAnsi" w:cstheme="minorHAnsi"/>
                <w:sz w:val="24"/>
                <w:szCs w:val="24"/>
                <w:lang w:val="uk-UA"/>
              </w:rPr>
              <w:t xml:space="preserve">забезпечує комплексну </w:t>
            </w:r>
            <w:r w:rsidRPr="00A06500">
              <w:rPr>
                <w:rFonts w:asciiTheme="minorHAnsi" w:hAnsiTheme="minorHAnsi" w:cstheme="minorHAnsi"/>
                <w:sz w:val="24"/>
                <w:szCs w:val="24"/>
                <w:lang w:val="uk-UA"/>
              </w:rPr>
              <w:t>підготовк</w:t>
            </w:r>
            <w:r w:rsidR="00A15305" w:rsidRPr="00A06500">
              <w:rPr>
                <w:rFonts w:asciiTheme="minorHAnsi" w:hAnsiTheme="minorHAnsi" w:cstheme="minorHAnsi"/>
                <w:sz w:val="24"/>
                <w:szCs w:val="24"/>
                <w:lang w:val="uk-UA"/>
              </w:rPr>
              <w:t>у</w:t>
            </w:r>
            <w:r w:rsidRPr="00A06500">
              <w:rPr>
                <w:rFonts w:asciiTheme="minorHAnsi" w:hAnsiTheme="minorHAnsi" w:cstheme="minorHAnsi"/>
                <w:sz w:val="24"/>
                <w:szCs w:val="24"/>
                <w:lang w:val="uk-UA"/>
              </w:rPr>
              <w:t xml:space="preserve"> фахівців </w:t>
            </w:r>
            <w:r w:rsidR="00A15305" w:rsidRPr="00A06500">
              <w:rPr>
                <w:rFonts w:asciiTheme="minorHAnsi" w:hAnsiTheme="minorHAnsi" w:cstheme="minorHAnsi"/>
                <w:sz w:val="24"/>
                <w:szCs w:val="24"/>
                <w:lang w:val="uk-UA"/>
              </w:rPr>
              <w:t xml:space="preserve">у сфері </w:t>
            </w:r>
            <w:r w:rsidRPr="00A06500">
              <w:rPr>
                <w:rFonts w:asciiTheme="minorHAnsi" w:hAnsiTheme="minorHAnsi" w:cstheme="minorHAnsi"/>
                <w:sz w:val="24"/>
                <w:szCs w:val="24"/>
                <w:lang w:val="uk-UA"/>
              </w:rPr>
              <w:t>міжнародних відносин</w:t>
            </w:r>
            <w:r w:rsidR="008D1597" w:rsidRPr="00A06500">
              <w:rPr>
                <w:rFonts w:asciiTheme="minorHAnsi" w:hAnsiTheme="minorHAnsi" w:cstheme="minorHAnsi"/>
                <w:sz w:val="24"/>
                <w:szCs w:val="24"/>
                <w:lang w:val="uk-UA"/>
              </w:rPr>
              <w:t xml:space="preserve"> та європейської інтеграції</w:t>
            </w:r>
            <w:r w:rsidRPr="00A06500">
              <w:rPr>
                <w:rFonts w:asciiTheme="minorHAnsi" w:hAnsiTheme="minorHAnsi" w:cstheme="minorHAnsi"/>
                <w:sz w:val="24"/>
                <w:szCs w:val="24"/>
                <w:lang w:val="uk-UA"/>
              </w:rPr>
              <w:t xml:space="preserve">, з </w:t>
            </w:r>
            <w:r w:rsidR="000003BF" w:rsidRPr="00A06500">
              <w:rPr>
                <w:rFonts w:asciiTheme="minorHAnsi" w:hAnsiTheme="minorHAnsi" w:cstheme="minorHAnsi"/>
                <w:sz w:val="24"/>
                <w:szCs w:val="24"/>
                <w:lang w:val="uk-UA"/>
              </w:rPr>
              <w:t xml:space="preserve">поглибленим </w:t>
            </w:r>
            <w:r w:rsidR="001A1143" w:rsidRPr="00A06500">
              <w:rPr>
                <w:rFonts w:asciiTheme="minorHAnsi" w:hAnsiTheme="minorHAnsi" w:cstheme="minorHAnsi"/>
                <w:sz w:val="24"/>
                <w:szCs w:val="24"/>
                <w:lang w:val="uk-UA"/>
              </w:rPr>
              <w:t>вивчення</w:t>
            </w:r>
            <w:r w:rsidR="000003BF" w:rsidRPr="00A06500">
              <w:rPr>
                <w:rFonts w:asciiTheme="minorHAnsi" w:hAnsiTheme="minorHAnsi" w:cstheme="minorHAnsi"/>
                <w:sz w:val="24"/>
                <w:szCs w:val="24"/>
                <w:lang w:val="uk-UA"/>
              </w:rPr>
              <w:t xml:space="preserve"> особливостей залучення різних акторів </w:t>
            </w:r>
            <w:r w:rsidRPr="00A06500">
              <w:rPr>
                <w:rFonts w:asciiTheme="minorHAnsi" w:hAnsiTheme="minorHAnsi" w:cstheme="minorHAnsi"/>
                <w:sz w:val="24"/>
                <w:szCs w:val="24"/>
                <w:lang w:val="uk-UA"/>
              </w:rPr>
              <w:t xml:space="preserve">на </w:t>
            </w:r>
            <w:r w:rsidR="000003BF" w:rsidRPr="00A06500">
              <w:rPr>
                <w:rFonts w:asciiTheme="minorHAnsi" w:hAnsiTheme="minorHAnsi" w:cstheme="minorHAnsi"/>
                <w:sz w:val="24"/>
                <w:szCs w:val="24"/>
                <w:lang w:val="uk-UA"/>
              </w:rPr>
              <w:t xml:space="preserve">регіональному та локальному рівнях. </w:t>
            </w:r>
          </w:p>
          <w:p w:rsidR="005523E4" w:rsidRPr="00A06500" w:rsidRDefault="000003BF" w:rsidP="005523E4">
            <w:pPr>
              <w:ind w:firstLine="288"/>
              <w:jc w:val="both"/>
              <w:rPr>
                <w:rFonts w:asciiTheme="minorHAnsi" w:hAnsiTheme="minorHAnsi" w:cstheme="minorHAnsi"/>
                <w:sz w:val="24"/>
                <w:szCs w:val="24"/>
                <w:lang w:val="uk-UA"/>
              </w:rPr>
            </w:pPr>
            <w:r w:rsidRPr="00A06500">
              <w:rPr>
                <w:rFonts w:asciiTheme="minorHAnsi" w:hAnsiTheme="minorHAnsi" w:cstheme="minorHAnsi"/>
                <w:sz w:val="24"/>
                <w:szCs w:val="24"/>
                <w:lang w:val="uk-UA"/>
              </w:rPr>
              <w:t xml:space="preserve">Програма покликана </w:t>
            </w:r>
            <w:r w:rsidR="001A1143" w:rsidRPr="00A06500">
              <w:rPr>
                <w:rFonts w:asciiTheme="minorHAnsi" w:hAnsiTheme="minorHAnsi" w:cstheme="minorHAnsi"/>
                <w:sz w:val="24"/>
                <w:szCs w:val="24"/>
                <w:lang w:val="uk-UA"/>
              </w:rPr>
              <w:t xml:space="preserve">диверсифікувати домінуючий </w:t>
            </w:r>
            <w:proofErr w:type="spellStart"/>
            <w:r w:rsidR="001A1143" w:rsidRPr="00A06500">
              <w:rPr>
                <w:rFonts w:asciiTheme="minorHAnsi" w:hAnsiTheme="minorHAnsi" w:cstheme="minorHAnsi"/>
                <w:sz w:val="24"/>
                <w:szCs w:val="24"/>
                <w:lang w:val="uk-UA"/>
              </w:rPr>
              <w:t>етатичний</w:t>
            </w:r>
            <w:proofErr w:type="spellEnd"/>
            <w:r w:rsidRPr="00A06500">
              <w:rPr>
                <w:rFonts w:asciiTheme="minorHAnsi" w:hAnsiTheme="minorHAnsi" w:cstheme="minorHAnsi"/>
                <w:sz w:val="24"/>
                <w:szCs w:val="24"/>
                <w:lang w:val="uk-UA"/>
              </w:rPr>
              <w:t xml:space="preserve"> </w:t>
            </w:r>
            <w:r w:rsidR="001A1143" w:rsidRPr="00A06500">
              <w:rPr>
                <w:rFonts w:asciiTheme="minorHAnsi" w:hAnsiTheme="minorHAnsi" w:cstheme="minorHAnsi"/>
                <w:sz w:val="24"/>
                <w:szCs w:val="24"/>
                <w:lang w:val="uk-UA"/>
              </w:rPr>
              <w:t>тренд у дослідженні</w:t>
            </w:r>
            <w:r w:rsidRPr="00A06500">
              <w:rPr>
                <w:rFonts w:asciiTheme="minorHAnsi" w:hAnsiTheme="minorHAnsi" w:cstheme="minorHAnsi"/>
                <w:sz w:val="24"/>
                <w:szCs w:val="24"/>
                <w:lang w:val="uk-UA"/>
              </w:rPr>
              <w:t xml:space="preserve"> </w:t>
            </w:r>
            <w:r w:rsidR="001A1143" w:rsidRPr="00A06500">
              <w:rPr>
                <w:rFonts w:asciiTheme="minorHAnsi" w:hAnsiTheme="minorHAnsi" w:cstheme="minorHAnsi"/>
                <w:sz w:val="24"/>
                <w:szCs w:val="24"/>
                <w:lang w:val="uk-UA"/>
              </w:rPr>
              <w:t>відносин</w:t>
            </w:r>
            <w:r w:rsidRPr="00A06500">
              <w:rPr>
                <w:rFonts w:asciiTheme="minorHAnsi" w:hAnsiTheme="minorHAnsi" w:cstheme="minorHAnsi"/>
                <w:sz w:val="24"/>
                <w:szCs w:val="24"/>
                <w:lang w:val="uk-UA"/>
              </w:rPr>
              <w:t xml:space="preserve"> третіх країн </w:t>
            </w:r>
            <w:r w:rsidR="001A1143" w:rsidRPr="00A06500">
              <w:rPr>
                <w:rFonts w:asciiTheme="minorHAnsi" w:hAnsiTheme="minorHAnsi" w:cstheme="minorHAnsi"/>
                <w:sz w:val="24"/>
                <w:szCs w:val="24"/>
                <w:lang w:val="uk-UA"/>
              </w:rPr>
              <w:t xml:space="preserve">з ЄС </w:t>
            </w:r>
            <w:r w:rsidR="005523E4" w:rsidRPr="00A06500">
              <w:rPr>
                <w:rFonts w:asciiTheme="minorHAnsi" w:hAnsiTheme="minorHAnsi" w:cstheme="minorHAnsi"/>
                <w:sz w:val="24"/>
                <w:szCs w:val="24"/>
                <w:lang w:val="uk-UA"/>
              </w:rPr>
              <w:t>шляхом забезпечення інклюзивного підхо</w:t>
            </w:r>
            <w:r w:rsidR="001A1143" w:rsidRPr="00A06500">
              <w:rPr>
                <w:rFonts w:asciiTheme="minorHAnsi" w:hAnsiTheme="minorHAnsi" w:cstheme="minorHAnsi"/>
                <w:sz w:val="24"/>
                <w:szCs w:val="24"/>
                <w:lang w:val="uk-UA"/>
              </w:rPr>
              <w:t>д</w:t>
            </w:r>
            <w:r w:rsidR="005523E4" w:rsidRPr="00A06500">
              <w:rPr>
                <w:rFonts w:asciiTheme="minorHAnsi" w:hAnsiTheme="minorHAnsi" w:cstheme="minorHAnsi"/>
                <w:sz w:val="24"/>
                <w:szCs w:val="24"/>
                <w:lang w:val="uk-UA"/>
              </w:rPr>
              <w:t>у</w:t>
            </w:r>
            <w:r w:rsidR="001A1143" w:rsidRPr="00A06500">
              <w:rPr>
                <w:rFonts w:asciiTheme="minorHAnsi" w:hAnsiTheme="minorHAnsi" w:cstheme="minorHAnsi"/>
                <w:sz w:val="24"/>
                <w:szCs w:val="24"/>
                <w:lang w:val="uk-UA"/>
              </w:rPr>
              <w:t xml:space="preserve"> у вивченні взаємодії цього інтеграційного об’єднання із своїми партнерами, зокрема Україною. </w:t>
            </w:r>
          </w:p>
          <w:p w:rsidR="00D719CC" w:rsidRPr="00A06500" w:rsidRDefault="001A1143" w:rsidP="005523E4">
            <w:pPr>
              <w:ind w:firstLine="288"/>
              <w:jc w:val="both"/>
              <w:rPr>
                <w:rFonts w:asciiTheme="minorHAnsi" w:hAnsiTheme="minorHAnsi" w:cstheme="minorHAnsi"/>
                <w:sz w:val="24"/>
                <w:szCs w:val="24"/>
                <w:shd w:val="clear" w:color="auto" w:fill="FFFFFF"/>
                <w:lang w:val="uk-UA"/>
              </w:rPr>
            </w:pPr>
            <w:r w:rsidRPr="00A06500">
              <w:rPr>
                <w:rFonts w:asciiTheme="minorHAnsi" w:hAnsiTheme="minorHAnsi" w:cstheme="minorHAnsi"/>
                <w:sz w:val="24"/>
                <w:szCs w:val="24"/>
                <w:lang w:val="uk-UA"/>
              </w:rPr>
              <w:t>Важлив</w:t>
            </w:r>
            <w:r w:rsidR="005523E4" w:rsidRPr="00A06500">
              <w:rPr>
                <w:rFonts w:asciiTheme="minorHAnsi" w:hAnsiTheme="minorHAnsi" w:cstheme="minorHAnsi"/>
                <w:sz w:val="24"/>
                <w:szCs w:val="24"/>
                <w:lang w:val="uk-UA"/>
              </w:rPr>
              <w:t>ою особливістю</w:t>
            </w:r>
            <w:r w:rsidRPr="00A06500">
              <w:rPr>
                <w:rFonts w:asciiTheme="minorHAnsi" w:hAnsiTheme="minorHAnsi" w:cstheme="minorHAnsi"/>
                <w:sz w:val="24"/>
                <w:szCs w:val="24"/>
                <w:lang w:val="uk-UA"/>
              </w:rPr>
              <w:t xml:space="preserve"> є те, що викладачі, які залучені у реалізації цієї освітньої програми, акумулювали значний міжнародний досвід як у дидактичній, так</w:t>
            </w:r>
            <w:r w:rsidR="005523E4" w:rsidRPr="00A06500">
              <w:rPr>
                <w:rFonts w:asciiTheme="minorHAnsi" w:hAnsiTheme="minorHAnsi" w:cstheme="minorHAnsi"/>
                <w:sz w:val="24"/>
                <w:szCs w:val="24"/>
                <w:lang w:val="uk-UA"/>
              </w:rPr>
              <w:t xml:space="preserve"> і у дослідницькій сферах</w:t>
            </w:r>
            <w:r w:rsidRPr="00A06500">
              <w:rPr>
                <w:rFonts w:asciiTheme="minorHAnsi" w:hAnsiTheme="minorHAnsi" w:cstheme="minorHAnsi"/>
                <w:sz w:val="24"/>
                <w:szCs w:val="24"/>
                <w:lang w:val="uk-UA"/>
              </w:rPr>
              <w:t>.</w:t>
            </w:r>
          </w:p>
          <w:p w:rsidR="00D719CC" w:rsidRPr="00A06500" w:rsidRDefault="00D719CC" w:rsidP="005523E4">
            <w:pPr>
              <w:ind w:firstLine="288"/>
              <w:jc w:val="both"/>
              <w:rPr>
                <w:rFonts w:asciiTheme="minorHAnsi" w:hAnsiTheme="minorHAnsi" w:cstheme="minorHAnsi"/>
                <w:sz w:val="24"/>
                <w:szCs w:val="24"/>
                <w:shd w:val="clear" w:color="auto" w:fill="FFFFFF"/>
                <w:lang w:val="uk-UA"/>
              </w:rPr>
            </w:pPr>
            <w:r w:rsidRPr="00A06500">
              <w:rPr>
                <w:rFonts w:asciiTheme="minorHAnsi" w:hAnsiTheme="minorHAnsi" w:cstheme="minorHAnsi"/>
                <w:sz w:val="24"/>
                <w:szCs w:val="24"/>
                <w:highlight w:val="white"/>
                <w:lang w:val="uk-UA"/>
              </w:rPr>
              <w:t xml:space="preserve">Програма передбачає </w:t>
            </w:r>
            <w:r w:rsidR="006F0F13" w:rsidRPr="00A06500">
              <w:rPr>
                <w:rFonts w:asciiTheme="minorHAnsi" w:hAnsiTheme="minorHAnsi" w:cstheme="minorHAnsi"/>
                <w:sz w:val="24"/>
                <w:szCs w:val="24"/>
                <w:highlight w:val="white"/>
                <w:lang w:val="uk-UA"/>
              </w:rPr>
              <w:t>вдосконалення знань</w:t>
            </w:r>
            <w:r w:rsidRPr="00A06500">
              <w:rPr>
                <w:rFonts w:asciiTheme="minorHAnsi" w:hAnsiTheme="minorHAnsi" w:cstheme="minorHAnsi"/>
                <w:sz w:val="24"/>
                <w:szCs w:val="24"/>
                <w:highlight w:val="white"/>
                <w:lang w:val="uk-UA"/>
              </w:rPr>
              <w:t xml:space="preserve"> і практичне застосування двох іноземних мов. </w:t>
            </w:r>
          </w:p>
        </w:tc>
      </w:tr>
      <w:tr w:rsidR="00D719CC" w:rsidRPr="00A06500" w:rsidTr="00D719CC">
        <w:tc>
          <w:tcPr>
            <w:tcW w:w="9924" w:type="dxa"/>
            <w:gridSpan w:val="2"/>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spacing w:after="120"/>
              <w:ind w:firstLine="288"/>
              <w:jc w:val="both"/>
              <w:rPr>
                <w:rFonts w:asciiTheme="minorHAnsi" w:hAnsiTheme="minorHAnsi" w:cstheme="minorHAnsi"/>
                <w:b/>
                <w:sz w:val="24"/>
                <w:szCs w:val="24"/>
                <w:lang w:val="uk-UA"/>
              </w:rPr>
            </w:pPr>
          </w:p>
          <w:p w:rsidR="00D719CC" w:rsidRPr="00A06500" w:rsidRDefault="00D719CC" w:rsidP="005523E4">
            <w:pPr>
              <w:spacing w:after="120"/>
              <w:ind w:firstLine="288"/>
              <w:jc w:val="both"/>
              <w:rPr>
                <w:rFonts w:asciiTheme="minorHAnsi" w:hAnsiTheme="minorHAnsi" w:cstheme="minorHAnsi"/>
                <w:sz w:val="24"/>
                <w:szCs w:val="24"/>
                <w:lang w:val="uk-UA"/>
              </w:rPr>
            </w:pPr>
            <w:r w:rsidRPr="00A06500">
              <w:rPr>
                <w:rFonts w:asciiTheme="minorHAnsi" w:hAnsiTheme="minorHAnsi" w:cstheme="minorHAnsi"/>
                <w:b/>
                <w:sz w:val="24"/>
                <w:szCs w:val="24"/>
                <w:lang w:val="uk-UA"/>
              </w:rPr>
              <w:t>4. Придатність випускників до працевлаштування та подальшого навчання</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lang w:val="uk-UA"/>
              </w:rPr>
              <w:t>Придатність до працевлаштування</w:t>
            </w:r>
          </w:p>
        </w:tc>
        <w:tc>
          <w:tcPr>
            <w:tcW w:w="6241" w:type="dxa"/>
            <w:tcBorders>
              <w:top w:val="single" w:sz="4" w:space="0" w:color="000000"/>
              <w:left w:val="single" w:sz="4" w:space="0" w:color="000000"/>
              <w:bottom w:val="single" w:sz="4" w:space="0" w:color="000000"/>
              <w:right w:val="single" w:sz="4" w:space="0" w:color="000000"/>
            </w:tcBorders>
          </w:tcPr>
          <w:p w:rsidR="00102876" w:rsidRPr="00A06500" w:rsidRDefault="00102876"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Особа, яка отримала ступінь магістра, може здійснювати професійну діяльність у сфері зовнішньої політики, міжнародного співробітництва та міжнародних відносин, обіймати первинні посади в органах державної влади та самоврядування різних рівнів, в міжнародних організаціях, у комерційних та неурядових структурах, здійснювати педагогічну та науково-дослідницьку діяльність. </w:t>
            </w:r>
          </w:p>
          <w:p w:rsidR="00D719CC" w:rsidRPr="00A06500" w:rsidRDefault="00102876" w:rsidP="005523E4">
            <w:pPr>
              <w:pStyle w:val="Default"/>
              <w:spacing w:line="276" w:lineRule="auto"/>
              <w:ind w:firstLine="288"/>
              <w:jc w:val="both"/>
              <w:rPr>
                <w:rFonts w:asciiTheme="minorHAnsi" w:hAnsiTheme="minorHAnsi" w:cstheme="minorHAnsi"/>
                <w:bCs/>
                <w:i/>
                <w:iCs/>
                <w:lang w:val="uk-UA"/>
              </w:rPr>
            </w:pPr>
            <w:r w:rsidRPr="00A06500">
              <w:rPr>
                <w:rFonts w:asciiTheme="minorHAnsi" w:hAnsiTheme="minorHAnsi" w:cstheme="minorHAnsi"/>
                <w:lang w:val="uk-UA"/>
              </w:rPr>
              <w:t xml:space="preserve">Зокрема, у </w:t>
            </w:r>
            <w:r w:rsidR="00D719CC" w:rsidRPr="00A06500">
              <w:rPr>
                <w:rFonts w:asciiTheme="minorHAnsi" w:hAnsiTheme="minorHAnsi" w:cstheme="minorHAnsi"/>
                <w:lang w:val="uk-UA"/>
              </w:rPr>
              <w:t>системі центральних органів виконавчої влади, до повноважень яких належить формування та забезпечення реалізації державної політики у сфері зовнішніх відносин України та дипломатичних представництвах України за кордоном</w:t>
            </w:r>
            <w:r w:rsidR="00D719CC" w:rsidRPr="00A06500">
              <w:rPr>
                <w:rFonts w:asciiTheme="minorHAnsi" w:hAnsiTheme="minorHAnsi" w:cstheme="minorHAnsi"/>
                <w:bCs/>
                <w:i/>
                <w:iCs/>
                <w:lang w:val="uk-UA"/>
              </w:rPr>
              <w:t>; у</w:t>
            </w:r>
            <w:r w:rsidR="00D719CC" w:rsidRPr="00A06500">
              <w:rPr>
                <w:rFonts w:asciiTheme="minorHAnsi" w:hAnsiTheme="minorHAnsi" w:cstheme="minorHAnsi"/>
                <w:lang w:val="uk-UA"/>
              </w:rPr>
              <w:t xml:space="preserve"> державних установах (держадміністрації, органи місцевого самоврядування, міжнародних відділах центральних органів виконавчої влади тощо): у приватних структурах, які здійснюють діяльніст</w:t>
            </w:r>
            <w:r w:rsidRPr="00A06500">
              <w:rPr>
                <w:rFonts w:asciiTheme="minorHAnsi" w:hAnsiTheme="minorHAnsi" w:cstheme="minorHAnsi"/>
                <w:lang w:val="uk-UA"/>
              </w:rPr>
              <w:t>ь у сфері міжнародних відносин</w:t>
            </w:r>
            <w:r w:rsidR="00D719CC" w:rsidRPr="00A06500">
              <w:rPr>
                <w:rFonts w:asciiTheme="minorHAnsi" w:hAnsiTheme="minorHAnsi" w:cstheme="minorHAnsi"/>
                <w:lang w:val="uk-UA"/>
              </w:rPr>
              <w:t>, у міжнародних міжуряд</w:t>
            </w:r>
            <w:r w:rsidRPr="00A06500">
              <w:rPr>
                <w:rFonts w:asciiTheme="minorHAnsi" w:hAnsiTheme="minorHAnsi" w:cstheme="minorHAnsi"/>
                <w:lang w:val="uk-UA"/>
              </w:rPr>
              <w:t>ових та неурядових організаціях</w:t>
            </w:r>
            <w:r w:rsidR="00D719CC" w:rsidRPr="00A06500">
              <w:rPr>
                <w:rFonts w:asciiTheme="minorHAnsi" w:hAnsiTheme="minorHAnsi" w:cstheme="minorHAnsi"/>
                <w:bCs/>
                <w:i/>
                <w:iCs/>
                <w:lang w:val="uk-UA"/>
              </w:rPr>
              <w:t>.</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lang w:val="uk-UA"/>
              </w:rPr>
              <w:t>Подальше навчання</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Навчання на третьому (</w:t>
            </w:r>
            <w:proofErr w:type="spellStart"/>
            <w:r w:rsidRPr="00A06500">
              <w:rPr>
                <w:rFonts w:asciiTheme="minorHAnsi" w:hAnsiTheme="minorHAnsi" w:cstheme="minorHAnsi"/>
                <w:lang w:val="uk-UA"/>
              </w:rPr>
              <w:t>освітньо</w:t>
            </w:r>
            <w:proofErr w:type="spellEnd"/>
            <w:r w:rsidRPr="00A06500">
              <w:rPr>
                <w:rFonts w:asciiTheme="minorHAnsi" w:hAnsiTheme="minorHAnsi" w:cstheme="minorHAnsi"/>
                <w:lang w:val="uk-UA"/>
              </w:rPr>
              <w:t xml:space="preserve">-науковому) рівні вищої освіти </w:t>
            </w:r>
          </w:p>
        </w:tc>
      </w:tr>
      <w:tr w:rsidR="00D719CC" w:rsidRPr="00A06500" w:rsidTr="00D719CC">
        <w:tc>
          <w:tcPr>
            <w:tcW w:w="9924" w:type="dxa"/>
            <w:gridSpan w:val="2"/>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spacing w:after="120"/>
              <w:ind w:firstLine="288"/>
              <w:jc w:val="both"/>
              <w:rPr>
                <w:rFonts w:asciiTheme="minorHAnsi" w:hAnsiTheme="minorHAnsi" w:cstheme="minorHAnsi"/>
                <w:b/>
                <w:sz w:val="24"/>
                <w:szCs w:val="24"/>
                <w:lang w:val="uk-UA"/>
              </w:rPr>
            </w:pPr>
          </w:p>
          <w:p w:rsidR="00D719CC" w:rsidRPr="00A06500" w:rsidRDefault="00D719CC" w:rsidP="005523E4">
            <w:pPr>
              <w:spacing w:after="120"/>
              <w:ind w:firstLine="288"/>
              <w:jc w:val="both"/>
              <w:rPr>
                <w:rFonts w:asciiTheme="minorHAnsi" w:hAnsiTheme="minorHAnsi" w:cstheme="minorHAnsi"/>
                <w:sz w:val="24"/>
                <w:szCs w:val="24"/>
                <w:lang w:val="uk-UA"/>
              </w:rPr>
            </w:pPr>
            <w:r w:rsidRPr="00A06500">
              <w:rPr>
                <w:rFonts w:asciiTheme="minorHAnsi" w:hAnsiTheme="minorHAnsi" w:cstheme="minorHAnsi"/>
                <w:b/>
                <w:sz w:val="24"/>
                <w:szCs w:val="24"/>
                <w:lang w:val="uk-UA"/>
              </w:rPr>
              <w:t>5. Викладання та оцінювання</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lang w:val="uk-UA"/>
              </w:rPr>
              <w:t>Викладання та навчання</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spacing w:after="120"/>
              <w:ind w:firstLine="288"/>
              <w:jc w:val="both"/>
              <w:rPr>
                <w:rFonts w:asciiTheme="minorHAnsi" w:hAnsiTheme="minorHAnsi" w:cstheme="minorHAnsi"/>
                <w:sz w:val="24"/>
                <w:szCs w:val="24"/>
                <w:lang w:val="uk-UA"/>
              </w:rPr>
            </w:pPr>
            <w:r w:rsidRPr="00A06500">
              <w:rPr>
                <w:rFonts w:asciiTheme="minorHAnsi" w:hAnsiTheme="minorHAnsi" w:cstheme="minorHAnsi"/>
                <w:sz w:val="24"/>
                <w:szCs w:val="24"/>
                <w:highlight w:val="white"/>
                <w:lang w:val="uk-UA"/>
              </w:rPr>
              <w:t xml:space="preserve">Викладання і навчання </w:t>
            </w:r>
            <w:r w:rsidR="00640D21" w:rsidRPr="00A06500">
              <w:rPr>
                <w:rFonts w:asciiTheme="minorHAnsi" w:hAnsiTheme="minorHAnsi" w:cstheme="minorHAnsi"/>
                <w:sz w:val="24"/>
                <w:szCs w:val="24"/>
                <w:highlight w:val="white"/>
                <w:lang w:val="uk-UA"/>
              </w:rPr>
              <w:t>відбувається як у</w:t>
            </w:r>
            <w:r w:rsidRPr="00A06500">
              <w:rPr>
                <w:rFonts w:asciiTheme="minorHAnsi" w:hAnsiTheme="minorHAnsi" w:cstheme="minorHAnsi"/>
                <w:sz w:val="24"/>
                <w:szCs w:val="24"/>
                <w:highlight w:val="white"/>
                <w:lang w:val="uk-UA"/>
              </w:rPr>
              <w:t xml:space="preserve"> </w:t>
            </w:r>
            <w:r w:rsidR="00640D21" w:rsidRPr="00A06500">
              <w:rPr>
                <w:rFonts w:asciiTheme="minorHAnsi" w:hAnsiTheme="minorHAnsi" w:cstheme="minorHAnsi"/>
                <w:sz w:val="24"/>
                <w:szCs w:val="24"/>
                <w:highlight w:val="white"/>
                <w:lang w:val="uk-UA"/>
              </w:rPr>
              <w:t xml:space="preserve">лекційному форматі, так і за допомогою проведення </w:t>
            </w:r>
            <w:r w:rsidRPr="00A06500">
              <w:rPr>
                <w:rFonts w:asciiTheme="minorHAnsi" w:hAnsiTheme="minorHAnsi" w:cstheme="minorHAnsi"/>
                <w:sz w:val="24"/>
                <w:szCs w:val="24"/>
                <w:highlight w:val="white"/>
                <w:lang w:val="uk-UA"/>
              </w:rPr>
              <w:t>с</w:t>
            </w:r>
            <w:r w:rsidR="00640D21" w:rsidRPr="00A06500">
              <w:rPr>
                <w:rFonts w:asciiTheme="minorHAnsi" w:hAnsiTheme="minorHAnsi" w:cstheme="minorHAnsi"/>
                <w:sz w:val="24"/>
                <w:szCs w:val="24"/>
                <w:highlight w:val="white"/>
                <w:lang w:val="uk-UA"/>
              </w:rPr>
              <w:t xml:space="preserve">емінарських і практичних занять, а також інших інтерактивних форм навчання. Важливою </w:t>
            </w:r>
            <w:proofErr w:type="spellStart"/>
            <w:r w:rsidR="00640D21" w:rsidRPr="00A06500">
              <w:rPr>
                <w:rFonts w:asciiTheme="minorHAnsi" w:hAnsiTheme="minorHAnsi" w:cstheme="minorHAnsi"/>
                <w:sz w:val="24"/>
                <w:szCs w:val="24"/>
                <w:highlight w:val="white"/>
                <w:lang w:val="uk-UA"/>
              </w:rPr>
              <w:t>компонентою</w:t>
            </w:r>
            <w:proofErr w:type="spellEnd"/>
            <w:r w:rsidR="00640D21" w:rsidRPr="00A06500">
              <w:rPr>
                <w:rFonts w:asciiTheme="minorHAnsi" w:hAnsiTheme="minorHAnsi" w:cstheme="minorHAnsi"/>
                <w:sz w:val="24"/>
                <w:szCs w:val="24"/>
                <w:highlight w:val="white"/>
                <w:lang w:val="uk-UA"/>
              </w:rPr>
              <w:t xml:space="preserve"> </w:t>
            </w:r>
            <w:r w:rsidRPr="00A06500">
              <w:rPr>
                <w:rFonts w:asciiTheme="minorHAnsi" w:hAnsiTheme="minorHAnsi" w:cstheme="minorHAnsi"/>
                <w:sz w:val="24"/>
                <w:szCs w:val="24"/>
                <w:highlight w:val="white"/>
                <w:lang w:val="uk-UA"/>
              </w:rPr>
              <w:t xml:space="preserve"> </w:t>
            </w:r>
            <w:r w:rsidR="00640D21" w:rsidRPr="00A06500">
              <w:rPr>
                <w:rFonts w:asciiTheme="minorHAnsi" w:hAnsiTheme="minorHAnsi" w:cstheme="minorHAnsi"/>
                <w:sz w:val="24"/>
                <w:szCs w:val="24"/>
                <w:highlight w:val="white"/>
                <w:lang w:val="uk-UA"/>
              </w:rPr>
              <w:t xml:space="preserve">є створення умов для </w:t>
            </w:r>
            <w:r w:rsidR="00640D21" w:rsidRPr="00A06500">
              <w:rPr>
                <w:rFonts w:asciiTheme="minorHAnsi" w:hAnsiTheme="minorHAnsi" w:cstheme="minorHAnsi"/>
                <w:sz w:val="24"/>
                <w:szCs w:val="24"/>
                <w:highlight w:val="white"/>
                <w:lang w:val="uk-UA"/>
              </w:rPr>
              <w:lastRenderedPageBreak/>
              <w:t>ефективної само</w:t>
            </w:r>
            <w:r w:rsidR="005523E4" w:rsidRPr="00A06500">
              <w:rPr>
                <w:rFonts w:asciiTheme="minorHAnsi" w:hAnsiTheme="minorHAnsi" w:cstheme="minorHAnsi"/>
                <w:sz w:val="24"/>
                <w:szCs w:val="24"/>
                <w:highlight w:val="white"/>
                <w:lang w:val="uk-UA"/>
              </w:rPr>
              <w:t>навчання</w:t>
            </w:r>
            <w:r w:rsidR="00640D21" w:rsidRPr="00A06500">
              <w:rPr>
                <w:rFonts w:asciiTheme="minorHAnsi" w:hAnsiTheme="minorHAnsi" w:cstheme="minorHAnsi"/>
                <w:sz w:val="24"/>
                <w:szCs w:val="24"/>
                <w:highlight w:val="white"/>
                <w:lang w:val="uk-UA"/>
              </w:rPr>
              <w:t>. Індивідуальні заняття</w:t>
            </w:r>
            <w:r w:rsidRPr="00A06500">
              <w:rPr>
                <w:rFonts w:asciiTheme="minorHAnsi" w:hAnsiTheme="minorHAnsi" w:cstheme="minorHAnsi"/>
                <w:sz w:val="24"/>
                <w:szCs w:val="24"/>
                <w:highlight w:val="white"/>
                <w:lang w:val="uk-UA"/>
              </w:rPr>
              <w:t xml:space="preserve"> та консультац</w:t>
            </w:r>
            <w:r w:rsidR="00640D21" w:rsidRPr="00A06500">
              <w:rPr>
                <w:rFonts w:asciiTheme="minorHAnsi" w:hAnsiTheme="minorHAnsi" w:cstheme="minorHAnsi"/>
                <w:sz w:val="24"/>
                <w:szCs w:val="24"/>
                <w:highlight w:val="white"/>
                <w:lang w:val="uk-UA"/>
              </w:rPr>
              <w:t>ії</w:t>
            </w:r>
            <w:r w:rsidRPr="00A06500">
              <w:rPr>
                <w:rFonts w:asciiTheme="minorHAnsi" w:hAnsiTheme="minorHAnsi" w:cstheme="minorHAnsi"/>
                <w:sz w:val="24"/>
                <w:szCs w:val="24"/>
                <w:highlight w:val="white"/>
                <w:lang w:val="uk-UA"/>
              </w:rPr>
              <w:t>,</w:t>
            </w:r>
            <w:r w:rsidR="00640D21" w:rsidRPr="00A06500">
              <w:rPr>
                <w:rFonts w:asciiTheme="minorHAnsi" w:hAnsiTheme="minorHAnsi" w:cstheme="minorHAnsi"/>
                <w:sz w:val="24"/>
                <w:szCs w:val="24"/>
                <w:highlight w:val="white"/>
                <w:lang w:val="uk-UA"/>
              </w:rPr>
              <w:t xml:space="preserve"> гостьові лекції,</w:t>
            </w:r>
            <w:r w:rsidRPr="00A06500">
              <w:rPr>
                <w:rFonts w:asciiTheme="minorHAnsi" w:hAnsiTheme="minorHAnsi" w:cstheme="minorHAnsi"/>
                <w:sz w:val="24"/>
                <w:szCs w:val="24"/>
                <w:highlight w:val="white"/>
                <w:lang w:val="uk-UA"/>
              </w:rPr>
              <w:t xml:space="preserve"> проходження </w:t>
            </w:r>
            <w:r w:rsidR="00640D21" w:rsidRPr="00A06500">
              <w:rPr>
                <w:rFonts w:asciiTheme="minorHAnsi" w:hAnsiTheme="minorHAnsi" w:cstheme="minorHAnsi"/>
                <w:sz w:val="24"/>
                <w:szCs w:val="24"/>
                <w:highlight w:val="white"/>
                <w:lang w:val="uk-UA"/>
              </w:rPr>
              <w:t>педагогічної</w:t>
            </w:r>
            <w:r w:rsidRPr="00A06500">
              <w:rPr>
                <w:rFonts w:asciiTheme="minorHAnsi" w:hAnsiTheme="minorHAnsi" w:cstheme="minorHAnsi"/>
                <w:sz w:val="24"/>
                <w:szCs w:val="24"/>
                <w:highlight w:val="white"/>
                <w:lang w:val="uk-UA"/>
              </w:rPr>
              <w:t xml:space="preserve"> і виробничої практик, </w:t>
            </w:r>
            <w:r w:rsidR="00640D21" w:rsidRPr="00A06500">
              <w:rPr>
                <w:rFonts w:asciiTheme="minorHAnsi" w:hAnsiTheme="minorHAnsi" w:cstheme="minorHAnsi"/>
                <w:sz w:val="24"/>
                <w:szCs w:val="24"/>
                <w:highlight w:val="white"/>
                <w:lang w:val="uk-UA"/>
              </w:rPr>
              <w:t>підготовка</w:t>
            </w:r>
            <w:r w:rsidRPr="00A06500">
              <w:rPr>
                <w:rFonts w:asciiTheme="minorHAnsi" w:hAnsiTheme="minorHAnsi" w:cstheme="minorHAnsi"/>
                <w:sz w:val="24"/>
                <w:szCs w:val="24"/>
                <w:highlight w:val="white"/>
                <w:lang w:val="uk-UA"/>
              </w:rPr>
              <w:t xml:space="preserve"> к</w:t>
            </w:r>
            <w:r w:rsidR="00640D21" w:rsidRPr="00A06500">
              <w:rPr>
                <w:rFonts w:asciiTheme="minorHAnsi" w:hAnsiTheme="minorHAnsi" w:cstheme="minorHAnsi"/>
                <w:sz w:val="24"/>
                <w:szCs w:val="24"/>
                <w:highlight w:val="white"/>
                <w:lang w:val="uk-UA"/>
              </w:rPr>
              <w:t>урсових та магістерських робіт,</w:t>
            </w:r>
            <w:r w:rsidR="00640D21" w:rsidRPr="00A06500">
              <w:rPr>
                <w:rFonts w:asciiTheme="minorHAnsi" w:hAnsiTheme="minorHAnsi" w:cstheme="minorHAnsi"/>
                <w:sz w:val="24"/>
                <w:szCs w:val="24"/>
                <w:lang w:val="uk-UA"/>
              </w:rPr>
              <w:t xml:space="preserve"> використання технології</w:t>
            </w:r>
            <w:r w:rsidRPr="00A06500">
              <w:rPr>
                <w:rFonts w:asciiTheme="minorHAnsi" w:hAnsiTheme="minorHAnsi" w:cstheme="minorHAnsi"/>
                <w:sz w:val="24"/>
                <w:szCs w:val="24"/>
                <w:lang w:val="uk-UA"/>
              </w:rPr>
              <w:t xml:space="preserve"> проблемного і диференційованого навчання, </w:t>
            </w:r>
            <w:r w:rsidR="00640D21" w:rsidRPr="00A06500">
              <w:rPr>
                <w:rFonts w:asciiTheme="minorHAnsi" w:hAnsiTheme="minorHAnsi" w:cstheme="minorHAnsi"/>
                <w:sz w:val="24"/>
                <w:szCs w:val="24"/>
                <w:lang w:val="uk-UA"/>
              </w:rPr>
              <w:t xml:space="preserve">здійснення </w:t>
            </w:r>
            <w:r w:rsidRPr="00A06500">
              <w:rPr>
                <w:rFonts w:asciiTheme="minorHAnsi" w:hAnsiTheme="minorHAnsi" w:cstheme="minorHAnsi"/>
                <w:sz w:val="24"/>
                <w:szCs w:val="24"/>
                <w:lang w:val="uk-UA"/>
              </w:rPr>
              <w:t>елект</w:t>
            </w:r>
            <w:r w:rsidR="00640D21" w:rsidRPr="00A06500">
              <w:rPr>
                <w:rFonts w:asciiTheme="minorHAnsi" w:hAnsiTheme="minorHAnsi" w:cstheme="minorHAnsi"/>
                <w:sz w:val="24"/>
                <w:szCs w:val="24"/>
                <w:lang w:val="uk-UA"/>
              </w:rPr>
              <w:t xml:space="preserve">ронного навчання за допомогою систем на кшталт </w:t>
            </w:r>
            <w:proofErr w:type="spellStart"/>
            <w:r w:rsidR="00640D21" w:rsidRPr="00A06500">
              <w:rPr>
                <w:rFonts w:asciiTheme="minorHAnsi" w:hAnsiTheme="minorHAnsi" w:cstheme="minorHAnsi"/>
                <w:sz w:val="24"/>
                <w:szCs w:val="24"/>
                <w:lang w:val="uk-UA"/>
              </w:rPr>
              <w:t>Moodle</w:t>
            </w:r>
            <w:proofErr w:type="spellEnd"/>
            <w:r w:rsidR="00170D32" w:rsidRPr="00A06500">
              <w:rPr>
                <w:rFonts w:asciiTheme="minorHAnsi" w:hAnsiTheme="minorHAnsi" w:cstheme="minorHAnsi"/>
                <w:sz w:val="24"/>
                <w:szCs w:val="24"/>
                <w:lang w:val="uk-UA"/>
              </w:rPr>
              <w:t xml:space="preserve"> та інші інноваційні методи навчання</w:t>
            </w:r>
            <w:r w:rsidR="00640D21" w:rsidRPr="00A06500">
              <w:rPr>
                <w:rFonts w:asciiTheme="minorHAnsi" w:hAnsiTheme="minorHAnsi" w:cstheme="minorHAnsi"/>
                <w:sz w:val="24"/>
                <w:szCs w:val="24"/>
                <w:lang w:val="uk-UA"/>
              </w:rPr>
              <w:t xml:space="preserve"> забезпечуватимуть успішне конкурування на сучасному ринку праці </w:t>
            </w:r>
            <w:r w:rsidRPr="00A06500">
              <w:rPr>
                <w:rFonts w:asciiTheme="minorHAnsi" w:hAnsiTheme="minorHAnsi" w:cstheme="minorHAnsi"/>
                <w:sz w:val="24"/>
                <w:szCs w:val="24"/>
                <w:lang w:val="uk-UA"/>
              </w:rPr>
              <w:t>.</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highlight w:val="white"/>
                <w:lang w:val="uk-UA"/>
              </w:rPr>
              <w:lastRenderedPageBreak/>
              <w:t>Оцінювання</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Оцінювання навчальних досягнень здійснюється за 100-бальною (р</w:t>
            </w:r>
            <w:r w:rsidR="005523E4" w:rsidRPr="00A06500">
              <w:rPr>
                <w:rFonts w:asciiTheme="minorHAnsi" w:hAnsiTheme="minorHAnsi" w:cstheme="minorHAnsi"/>
                <w:lang w:val="uk-UA"/>
              </w:rPr>
              <w:t xml:space="preserve">ейтинговою) шкалою ЕКТС (ECTS), </w:t>
            </w:r>
            <w:r w:rsidRPr="00A06500">
              <w:rPr>
                <w:rFonts w:asciiTheme="minorHAnsi" w:hAnsiTheme="minorHAnsi" w:cstheme="minorHAnsi"/>
                <w:lang w:val="uk-UA"/>
              </w:rPr>
              <w:t xml:space="preserve">національною 4-х бальною шкалою </w:t>
            </w:r>
            <w:r w:rsidRPr="00A06500">
              <w:rPr>
                <w:rFonts w:asciiTheme="minorHAnsi" w:hAnsiTheme="minorHAnsi" w:cstheme="minorHAnsi"/>
                <w:i/>
                <w:lang w:val="uk-UA"/>
              </w:rPr>
              <w:t>(«відмінно», «добре», «задовільно», «незадовільно</w:t>
            </w:r>
            <w:r w:rsidRPr="00A06500">
              <w:rPr>
                <w:rFonts w:asciiTheme="minorHAnsi" w:hAnsiTheme="minorHAnsi" w:cstheme="minorHAnsi"/>
                <w:lang w:val="uk-UA"/>
              </w:rPr>
              <w:t>») і вербальною («зараховано», «</w:t>
            </w:r>
            <w:proofErr w:type="spellStart"/>
            <w:r w:rsidRPr="00A06500">
              <w:rPr>
                <w:rFonts w:asciiTheme="minorHAnsi" w:hAnsiTheme="minorHAnsi" w:cstheme="minorHAnsi"/>
                <w:lang w:val="uk-UA"/>
              </w:rPr>
              <w:t>незараховано</w:t>
            </w:r>
            <w:proofErr w:type="spellEnd"/>
            <w:r w:rsidRPr="00A06500">
              <w:rPr>
                <w:rFonts w:asciiTheme="minorHAnsi" w:hAnsiTheme="minorHAnsi" w:cstheme="minorHAnsi"/>
                <w:lang w:val="uk-UA"/>
              </w:rPr>
              <w:t xml:space="preserve">») системами. </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i/>
                <w:lang w:val="uk-UA"/>
              </w:rPr>
              <w:t>Види контролю</w:t>
            </w:r>
            <w:r w:rsidRPr="00A06500">
              <w:rPr>
                <w:rFonts w:asciiTheme="minorHAnsi" w:hAnsiTheme="minorHAnsi" w:cstheme="minorHAnsi"/>
                <w:lang w:val="uk-UA"/>
              </w:rPr>
              <w:t xml:space="preserve">: поточний, тематичний, періодичний, підсумковий, самоконтроль. </w:t>
            </w:r>
          </w:p>
          <w:p w:rsidR="00D719CC" w:rsidRPr="00A06500" w:rsidRDefault="00D719CC" w:rsidP="005523E4">
            <w:pPr>
              <w:autoSpaceDE w:val="0"/>
              <w:ind w:firstLine="288"/>
              <w:jc w:val="both"/>
              <w:rPr>
                <w:rFonts w:asciiTheme="minorHAnsi" w:hAnsiTheme="minorHAnsi" w:cstheme="minorHAnsi"/>
                <w:sz w:val="24"/>
                <w:szCs w:val="24"/>
                <w:lang w:val="uk-UA"/>
              </w:rPr>
            </w:pPr>
            <w:r w:rsidRPr="00A06500">
              <w:rPr>
                <w:rFonts w:asciiTheme="minorHAnsi" w:hAnsiTheme="minorHAnsi" w:cstheme="minorHAnsi"/>
                <w:sz w:val="24"/>
                <w:szCs w:val="24"/>
                <w:lang w:val="uk-UA"/>
              </w:rPr>
              <w:t xml:space="preserve">Форми контролю: усне та письмове опитування, тестові завдання в тому числі комп’ютерне тестування, презентації, захист курсових робіт та проектів, звітів з практик, захист кваліфікаційної роботи магістра. </w:t>
            </w:r>
          </w:p>
          <w:p w:rsidR="00D719CC" w:rsidRPr="00A06500" w:rsidRDefault="00D719CC" w:rsidP="005523E4">
            <w:pPr>
              <w:autoSpaceDE w:val="0"/>
              <w:ind w:firstLine="288"/>
              <w:jc w:val="both"/>
              <w:rPr>
                <w:rFonts w:asciiTheme="minorHAnsi" w:eastAsia="Times New Roman" w:hAnsiTheme="minorHAnsi" w:cstheme="minorHAnsi"/>
                <w:sz w:val="24"/>
                <w:szCs w:val="24"/>
                <w:lang w:val="uk-UA" w:eastAsia="uk-UA"/>
              </w:rPr>
            </w:pPr>
            <w:r w:rsidRPr="00A06500">
              <w:rPr>
                <w:rFonts w:asciiTheme="minorHAnsi" w:eastAsia="Times New Roman" w:hAnsiTheme="minorHAnsi" w:cstheme="minorHAnsi"/>
                <w:i/>
                <w:iCs/>
                <w:sz w:val="24"/>
                <w:szCs w:val="24"/>
                <w:lang w:val="uk-UA" w:eastAsia="uk-UA"/>
              </w:rPr>
              <w:t xml:space="preserve">Поточний контроль </w:t>
            </w:r>
            <w:r w:rsidRPr="00A06500">
              <w:rPr>
                <w:rFonts w:asciiTheme="minorHAnsi" w:eastAsia="Times New Roman" w:hAnsiTheme="minorHAnsi" w:cstheme="minorHAnsi"/>
                <w:sz w:val="24"/>
                <w:szCs w:val="24"/>
                <w:lang w:val="uk-UA" w:eastAsia="uk-UA"/>
              </w:rPr>
              <w:t>– усне та письмове опитування, тестування, захист індивідуальних завдань у формі есе або презентацій.</w:t>
            </w:r>
          </w:p>
          <w:p w:rsidR="00D719CC" w:rsidRPr="00A06500" w:rsidRDefault="00D719CC" w:rsidP="005523E4">
            <w:pPr>
              <w:autoSpaceDE w:val="0"/>
              <w:ind w:firstLine="288"/>
              <w:jc w:val="both"/>
              <w:rPr>
                <w:rFonts w:asciiTheme="minorHAnsi" w:hAnsiTheme="minorHAnsi" w:cstheme="minorHAnsi"/>
                <w:i/>
                <w:sz w:val="24"/>
                <w:szCs w:val="24"/>
                <w:lang w:val="uk-UA" w:eastAsia="uk-UA"/>
              </w:rPr>
            </w:pPr>
            <w:r w:rsidRPr="00A06500">
              <w:rPr>
                <w:rFonts w:asciiTheme="minorHAnsi" w:eastAsia="Times New Roman" w:hAnsiTheme="minorHAnsi" w:cstheme="minorHAnsi"/>
                <w:i/>
                <w:iCs/>
                <w:sz w:val="24"/>
                <w:szCs w:val="24"/>
                <w:lang w:val="uk-UA" w:eastAsia="uk-UA"/>
              </w:rPr>
              <w:t xml:space="preserve">Підсумковий контроль </w:t>
            </w:r>
            <w:r w:rsidRPr="00A06500">
              <w:rPr>
                <w:rFonts w:asciiTheme="minorHAnsi" w:eastAsia="Times New Roman" w:hAnsiTheme="minorHAnsi" w:cstheme="minorHAnsi"/>
                <w:sz w:val="24"/>
                <w:szCs w:val="24"/>
                <w:lang w:val="uk-UA" w:eastAsia="uk-UA"/>
              </w:rPr>
              <w:t>– усні або письмові екзамени, заліки з урахуванням накопичених балів поточного контролю.</w:t>
            </w:r>
          </w:p>
          <w:p w:rsidR="00D719CC" w:rsidRPr="00A06500" w:rsidRDefault="00D719CC" w:rsidP="005523E4">
            <w:pPr>
              <w:ind w:firstLine="288"/>
              <w:jc w:val="both"/>
              <w:rPr>
                <w:rFonts w:asciiTheme="minorHAnsi" w:eastAsia="Times New Roman" w:hAnsiTheme="minorHAnsi" w:cstheme="minorHAnsi"/>
                <w:sz w:val="24"/>
                <w:szCs w:val="24"/>
                <w:lang w:val="uk-UA" w:eastAsia="uk-UA"/>
              </w:rPr>
            </w:pPr>
            <w:r w:rsidRPr="00A06500">
              <w:rPr>
                <w:rFonts w:asciiTheme="minorHAnsi" w:hAnsiTheme="minorHAnsi" w:cstheme="minorHAnsi"/>
                <w:i/>
                <w:sz w:val="24"/>
                <w:szCs w:val="24"/>
                <w:lang w:val="uk-UA" w:eastAsia="uk-UA"/>
              </w:rPr>
              <w:t>Державна атестація</w:t>
            </w:r>
            <w:r w:rsidRPr="00A06500">
              <w:rPr>
                <w:rFonts w:asciiTheme="minorHAnsi" w:hAnsiTheme="minorHAnsi" w:cstheme="minorHAnsi"/>
                <w:sz w:val="24"/>
                <w:szCs w:val="24"/>
                <w:lang w:val="uk-UA" w:eastAsia="uk-UA"/>
              </w:rPr>
              <w:t xml:space="preserve"> – підготовка та публічний захист (представлення) кваліфікаційної (магістерської) роботи та комплексного атестаційного екзамену.</w:t>
            </w:r>
          </w:p>
          <w:p w:rsidR="00D719CC" w:rsidRPr="00A06500" w:rsidRDefault="00D719CC" w:rsidP="005523E4">
            <w:pPr>
              <w:ind w:firstLine="288"/>
              <w:jc w:val="both"/>
              <w:rPr>
                <w:rFonts w:asciiTheme="minorHAnsi" w:hAnsiTheme="minorHAnsi" w:cstheme="minorHAnsi"/>
                <w:sz w:val="24"/>
                <w:szCs w:val="24"/>
                <w:lang w:val="uk-UA"/>
              </w:rPr>
            </w:pPr>
            <w:r w:rsidRPr="00A06500">
              <w:rPr>
                <w:rFonts w:asciiTheme="minorHAnsi" w:eastAsia="Times New Roman" w:hAnsiTheme="minorHAnsi" w:cstheme="minorHAnsi"/>
                <w:sz w:val="24"/>
                <w:szCs w:val="24"/>
                <w:lang w:val="uk-UA" w:eastAsia="uk-UA"/>
              </w:rPr>
              <w:t>Атестація здійснюється у формі публічного захисту.</w:t>
            </w:r>
          </w:p>
        </w:tc>
      </w:tr>
      <w:tr w:rsidR="00D719CC" w:rsidRPr="00A06500" w:rsidTr="00D719CC">
        <w:tc>
          <w:tcPr>
            <w:tcW w:w="9924" w:type="dxa"/>
            <w:gridSpan w:val="2"/>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spacing w:after="120"/>
              <w:ind w:firstLine="288"/>
              <w:jc w:val="both"/>
              <w:rPr>
                <w:rFonts w:asciiTheme="minorHAnsi" w:hAnsiTheme="minorHAnsi" w:cstheme="minorHAnsi"/>
                <w:b/>
                <w:sz w:val="24"/>
                <w:szCs w:val="24"/>
                <w:lang w:val="uk-UA"/>
              </w:rPr>
            </w:pPr>
          </w:p>
          <w:p w:rsidR="00D719CC" w:rsidRPr="00A06500" w:rsidRDefault="00D719CC" w:rsidP="005523E4">
            <w:pPr>
              <w:spacing w:after="120"/>
              <w:ind w:firstLine="288"/>
              <w:jc w:val="both"/>
              <w:rPr>
                <w:rFonts w:asciiTheme="minorHAnsi" w:hAnsiTheme="minorHAnsi" w:cstheme="minorHAnsi"/>
                <w:sz w:val="24"/>
                <w:szCs w:val="24"/>
                <w:lang w:val="uk-UA"/>
              </w:rPr>
            </w:pPr>
            <w:r w:rsidRPr="00A06500">
              <w:rPr>
                <w:rFonts w:asciiTheme="minorHAnsi" w:hAnsiTheme="minorHAnsi" w:cstheme="minorHAnsi"/>
                <w:b/>
                <w:sz w:val="24"/>
                <w:szCs w:val="24"/>
                <w:lang w:val="uk-UA"/>
              </w:rPr>
              <w:t>6. Програмні компетентності</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spacing w:after="120"/>
              <w:rPr>
                <w:rFonts w:asciiTheme="minorHAnsi" w:hAnsiTheme="minorHAnsi" w:cstheme="minorHAnsi"/>
                <w:sz w:val="24"/>
                <w:szCs w:val="24"/>
                <w:lang w:val="uk-UA"/>
              </w:rPr>
            </w:pPr>
            <w:r w:rsidRPr="00A06500">
              <w:rPr>
                <w:rFonts w:asciiTheme="minorHAnsi" w:hAnsiTheme="minorHAnsi" w:cstheme="minorHAnsi"/>
                <w:b/>
                <w:sz w:val="24"/>
                <w:szCs w:val="24"/>
                <w:highlight w:val="white"/>
                <w:lang w:val="uk-UA"/>
              </w:rPr>
              <w:t>Інтегральна компетентність</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ind w:firstLine="288"/>
              <w:jc w:val="both"/>
              <w:rPr>
                <w:rFonts w:asciiTheme="minorHAnsi" w:hAnsiTheme="minorHAnsi" w:cstheme="minorHAnsi"/>
                <w:sz w:val="24"/>
                <w:szCs w:val="24"/>
                <w:lang w:val="uk-UA"/>
              </w:rPr>
            </w:pPr>
            <w:r w:rsidRPr="00A06500">
              <w:rPr>
                <w:rFonts w:asciiTheme="minorHAnsi" w:hAnsiTheme="minorHAnsi" w:cstheme="minorHAnsi"/>
                <w:color w:val="000000"/>
                <w:sz w:val="24"/>
                <w:szCs w:val="24"/>
                <w:lang w:val="uk-UA"/>
              </w:rPr>
              <w:t>Здатність розв’язувати складні теоретичні задачі й прикладні проблеми в сфері міжнародних відносин і зовнішньої політики, здійснювати аналіз міжнародних взаємодій між державами, міжнародними організаціями та недержавними акторами, що передбачає застосування теорій міжнародних відносин, зовнішньої політики та міжнародних комуні</w:t>
            </w:r>
            <w:r w:rsidR="005523E4" w:rsidRPr="00A06500">
              <w:rPr>
                <w:rFonts w:asciiTheme="minorHAnsi" w:hAnsiTheme="minorHAnsi" w:cstheme="minorHAnsi"/>
                <w:color w:val="000000"/>
                <w:sz w:val="24"/>
                <w:szCs w:val="24"/>
                <w:lang w:val="uk-UA"/>
              </w:rPr>
              <w:t>кацій, використання міждисциплі</w:t>
            </w:r>
            <w:r w:rsidRPr="00A06500">
              <w:rPr>
                <w:rFonts w:asciiTheme="minorHAnsi" w:hAnsiTheme="minorHAnsi" w:cstheme="minorHAnsi"/>
                <w:color w:val="000000"/>
                <w:sz w:val="24"/>
                <w:szCs w:val="24"/>
                <w:lang w:val="uk-UA"/>
              </w:rPr>
              <w:t>нарних та спеціальних наукових методів дослідження проблем міжнародних відносин.</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b/>
                <w:sz w:val="24"/>
                <w:szCs w:val="24"/>
                <w:highlight w:val="white"/>
                <w:lang w:val="uk-UA"/>
              </w:rPr>
            </w:pPr>
            <w:r w:rsidRPr="00A06500">
              <w:rPr>
                <w:rFonts w:asciiTheme="minorHAnsi" w:hAnsiTheme="minorHAnsi" w:cstheme="minorHAnsi"/>
                <w:b/>
                <w:sz w:val="24"/>
                <w:szCs w:val="24"/>
                <w:highlight w:val="white"/>
                <w:lang w:val="uk-UA"/>
              </w:rPr>
              <w:t>Загальні компетентності (ЗК)</w:t>
            </w:r>
          </w:p>
          <w:p w:rsidR="00D719CC" w:rsidRPr="00A06500" w:rsidRDefault="00D719CC" w:rsidP="00D719CC">
            <w:pPr>
              <w:rPr>
                <w:rFonts w:asciiTheme="minorHAnsi" w:hAnsiTheme="minorHAnsi" w:cstheme="minorHAnsi"/>
                <w:b/>
                <w:sz w:val="24"/>
                <w:szCs w:val="24"/>
                <w:highlight w:val="white"/>
                <w:lang w:val="uk-UA"/>
              </w:rPr>
            </w:pPr>
          </w:p>
          <w:p w:rsidR="00D719CC" w:rsidRPr="00A06500" w:rsidRDefault="00D719CC" w:rsidP="00D719CC">
            <w:pPr>
              <w:rPr>
                <w:rFonts w:asciiTheme="minorHAnsi" w:hAnsiTheme="minorHAnsi" w:cstheme="minorHAnsi"/>
                <w:b/>
                <w:sz w:val="24"/>
                <w:szCs w:val="24"/>
                <w:highlight w:val="white"/>
                <w:lang w:val="uk-UA"/>
              </w:rPr>
            </w:pPr>
          </w:p>
          <w:p w:rsidR="00D719CC" w:rsidRPr="00A06500" w:rsidRDefault="00D719CC" w:rsidP="00D719CC">
            <w:pPr>
              <w:rPr>
                <w:rFonts w:asciiTheme="minorHAnsi" w:hAnsiTheme="minorHAnsi" w:cstheme="minorHAnsi"/>
                <w:b/>
                <w:sz w:val="24"/>
                <w:szCs w:val="24"/>
                <w:highlight w:val="white"/>
                <w:lang w:val="uk-UA"/>
              </w:rPr>
            </w:pPr>
          </w:p>
          <w:p w:rsidR="00D719CC" w:rsidRPr="00A06500" w:rsidRDefault="00D719CC" w:rsidP="00D719CC">
            <w:pPr>
              <w:rPr>
                <w:rFonts w:asciiTheme="minorHAnsi" w:hAnsiTheme="minorHAnsi" w:cstheme="minorHAnsi"/>
                <w:b/>
                <w:sz w:val="24"/>
                <w:szCs w:val="24"/>
                <w:highlight w:val="white"/>
                <w:lang w:val="uk-UA"/>
              </w:rPr>
            </w:pPr>
          </w:p>
          <w:p w:rsidR="00D719CC" w:rsidRPr="00A06500" w:rsidRDefault="00D719CC" w:rsidP="00D719CC">
            <w:pPr>
              <w:rPr>
                <w:rFonts w:asciiTheme="minorHAnsi" w:hAnsiTheme="minorHAnsi" w:cstheme="minorHAnsi"/>
                <w:sz w:val="24"/>
                <w:szCs w:val="24"/>
                <w:lang w:val="uk-UA"/>
              </w:rPr>
            </w:pP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NormalWeb"/>
              <w:spacing w:before="0" w:after="0" w:line="276" w:lineRule="auto"/>
              <w:ind w:firstLine="288"/>
              <w:jc w:val="both"/>
              <w:textAlignment w:val="baseline"/>
              <w:rPr>
                <w:rFonts w:asciiTheme="minorHAnsi" w:hAnsiTheme="minorHAnsi" w:cstheme="minorHAnsi"/>
                <w:color w:val="000000"/>
              </w:rPr>
            </w:pPr>
            <w:r w:rsidRPr="00A06500">
              <w:rPr>
                <w:rFonts w:asciiTheme="minorHAnsi" w:hAnsiTheme="minorHAnsi" w:cstheme="minorHAnsi"/>
              </w:rPr>
              <w:lastRenderedPageBreak/>
              <w:t>ЗК 1. Здатність до абстрактного мислення, аналізу та синтезу.</w:t>
            </w:r>
          </w:p>
          <w:p w:rsidR="00D719CC" w:rsidRPr="00A06500" w:rsidRDefault="00D719CC" w:rsidP="005523E4">
            <w:pPr>
              <w:pStyle w:val="NormalWeb"/>
              <w:spacing w:before="0" w:after="0" w:line="276" w:lineRule="auto"/>
              <w:ind w:firstLine="288"/>
              <w:jc w:val="both"/>
              <w:textAlignment w:val="baseline"/>
              <w:rPr>
                <w:rFonts w:asciiTheme="minorHAnsi" w:hAnsiTheme="minorHAnsi" w:cstheme="minorHAnsi"/>
                <w:color w:val="000000"/>
              </w:rPr>
            </w:pPr>
            <w:r w:rsidRPr="00A06500">
              <w:rPr>
                <w:rFonts w:asciiTheme="minorHAnsi" w:hAnsiTheme="minorHAnsi" w:cstheme="minorHAnsi"/>
              </w:rPr>
              <w:t>ЗК 2. Знання та розуміння предметної області і розуміння професійної діяльності.</w:t>
            </w:r>
          </w:p>
          <w:p w:rsidR="00D719CC" w:rsidRPr="00A06500" w:rsidRDefault="00D719CC" w:rsidP="005523E4">
            <w:pPr>
              <w:pStyle w:val="NormalWeb"/>
              <w:spacing w:before="0" w:after="0" w:line="276" w:lineRule="auto"/>
              <w:ind w:firstLine="288"/>
              <w:jc w:val="both"/>
              <w:textAlignment w:val="baseline"/>
              <w:rPr>
                <w:rFonts w:asciiTheme="minorHAnsi" w:hAnsiTheme="minorHAnsi" w:cstheme="minorHAnsi"/>
                <w:color w:val="000000"/>
              </w:rPr>
            </w:pPr>
            <w:r w:rsidRPr="00A06500">
              <w:rPr>
                <w:rFonts w:asciiTheme="minorHAnsi" w:hAnsiTheme="minorHAnsi" w:cstheme="minorHAnsi"/>
              </w:rPr>
              <w:lastRenderedPageBreak/>
              <w:t>ЗК 3. Здатність вчитися і оволодівати сучасними знаннями та застосовувати їх у практичній діяльності.</w:t>
            </w:r>
          </w:p>
          <w:p w:rsidR="00D719CC" w:rsidRPr="00A06500" w:rsidRDefault="00D719CC" w:rsidP="005523E4">
            <w:pPr>
              <w:pStyle w:val="NormalWeb"/>
              <w:spacing w:before="0" w:after="0" w:line="276" w:lineRule="auto"/>
              <w:ind w:firstLine="288"/>
              <w:jc w:val="both"/>
              <w:textAlignment w:val="baseline"/>
              <w:rPr>
                <w:rFonts w:asciiTheme="minorHAnsi" w:hAnsiTheme="minorHAnsi" w:cstheme="minorHAnsi"/>
                <w:color w:val="000000"/>
              </w:rPr>
            </w:pPr>
            <w:r w:rsidRPr="00A06500">
              <w:rPr>
                <w:rFonts w:asciiTheme="minorHAnsi" w:hAnsiTheme="minorHAnsi" w:cstheme="minorHAnsi"/>
              </w:rPr>
              <w:t>ЗК 4. Здатність спілкуватися державною та іноземними мовами як усно, так і письмово.</w:t>
            </w:r>
          </w:p>
          <w:p w:rsidR="00D719CC" w:rsidRPr="00A06500" w:rsidRDefault="00D719CC" w:rsidP="005523E4">
            <w:pPr>
              <w:pStyle w:val="NormalWeb"/>
              <w:spacing w:before="0" w:after="0" w:line="276" w:lineRule="auto"/>
              <w:ind w:firstLine="288"/>
              <w:jc w:val="both"/>
              <w:textAlignment w:val="baseline"/>
              <w:rPr>
                <w:rFonts w:asciiTheme="minorHAnsi" w:hAnsiTheme="minorHAnsi" w:cstheme="minorHAnsi"/>
                <w:color w:val="000000"/>
              </w:rPr>
            </w:pPr>
            <w:r w:rsidRPr="00A06500">
              <w:rPr>
                <w:rFonts w:asciiTheme="minorHAnsi" w:hAnsiTheme="minorHAnsi" w:cstheme="minorHAnsi"/>
              </w:rPr>
              <w:t>ЗК 5. Здатність до пошуку, оброблення та аналізу інформації з різних джерел, зокрема завдяки використанню інформаційних і комунікаційних технологій.</w:t>
            </w:r>
          </w:p>
          <w:p w:rsidR="00D719CC" w:rsidRPr="00A06500" w:rsidRDefault="00D719CC" w:rsidP="005523E4">
            <w:pPr>
              <w:pStyle w:val="NormalWeb"/>
              <w:spacing w:before="0" w:after="0" w:line="276" w:lineRule="auto"/>
              <w:ind w:firstLine="288"/>
              <w:jc w:val="both"/>
              <w:textAlignment w:val="baseline"/>
              <w:rPr>
                <w:rFonts w:asciiTheme="minorHAnsi" w:hAnsiTheme="minorHAnsi" w:cstheme="minorHAnsi"/>
                <w:color w:val="000000"/>
              </w:rPr>
            </w:pPr>
            <w:r w:rsidRPr="00A06500">
              <w:rPr>
                <w:rFonts w:asciiTheme="minorHAnsi" w:hAnsiTheme="minorHAnsi" w:cstheme="minorHAnsi"/>
              </w:rPr>
              <w:t>ЗК 6. Вміння виявляти, ставити та вирішувати проблеми.</w:t>
            </w:r>
          </w:p>
          <w:p w:rsidR="00D719CC" w:rsidRPr="00A06500" w:rsidRDefault="00D719CC" w:rsidP="005523E4">
            <w:pPr>
              <w:pStyle w:val="NormalWeb"/>
              <w:spacing w:before="0" w:after="0" w:line="276" w:lineRule="auto"/>
              <w:ind w:firstLine="288"/>
              <w:jc w:val="both"/>
              <w:textAlignment w:val="baseline"/>
              <w:rPr>
                <w:rFonts w:asciiTheme="minorHAnsi" w:hAnsiTheme="minorHAnsi" w:cstheme="minorHAnsi"/>
                <w:color w:val="000000"/>
              </w:rPr>
            </w:pPr>
            <w:r w:rsidRPr="00A06500">
              <w:rPr>
                <w:rFonts w:asciiTheme="minorHAnsi" w:hAnsiTheme="minorHAnsi" w:cstheme="minorHAnsi"/>
              </w:rPr>
              <w:t>ЗК 7. Уміння аргументувати вибір шляхів вирішення завдань професійного характеру, критично оцінювати отримані результати та обґрунтовувати прийняті рішення.</w:t>
            </w:r>
          </w:p>
          <w:p w:rsidR="00D719CC" w:rsidRPr="00A06500" w:rsidRDefault="00D719CC" w:rsidP="005523E4">
            <w:pPr>
              <w:pStyle w:val="NormalWeb"/>
              <w:spacing w:before="0" w:after="0" w:line="276" w:lineRule="auto"/>
              <w:ind w:firstLine="288"/>
              <w:jc w:val="both"/>
              <w:textAlignment w:val="baseline"/>
              <w:rPr>
                <w:rFonts w:asciiTheme="minorHAnsi" w:hAnsiTheme="minorHAnsi" w:cstheme="minorHAnsi"/>
                <w:color w:val="000000"/>
              </w:rPr>
            </w:pPr>
            <w:r w:rsidRPr="00A06500">
              <w:rPr>
                <w:rFonts w:asciiTheme="minorHAnsi" w:hAnsiTheme="minorHAnsi" w:cstheme="minorHAnsi"/>
              </w:rPr>
              <w:t xml:space="preserve">ЗК 8. Здатність працювати як </w:t>
            </w:r>
            <w:proofErr w:type="spellStart"/>
            <w:r w:rsidRPr="00A06500">
              <w:rPr>
                <w:rFonts w:asciiTheme="minorHAnsi" w:hAnsiTheme="minorHAnsi" w:cstheme="minorHAnsi"/>
              </w:rPr>
              <w:t>автономно</w:t>
            </w:r>
            <w:proofErr w:type="spellEnd"/>
            <w:r w:rsidRPr="00A06500">
              <w:rPr>
                <w:rFonts w:asciiTheme="minorHAnsi" w:hAnsiTheme="minorHAnsi" w:cstheme="minorHAnsi"/>
              </w:rPr>
              <w:t>, так і у команді.</w:t>
            </w:r>
          </w:p>
          <w:p w:rsidR="00D719CC" w:rsidRPr="00A06500" w:rsidRDefault="00D719CC" w:rsidP="005523E4">
            <w:pPr>
              <w:pStyle w:val="NormalWeb"/>
              <w:spacing w:before="0" w:after="0" w:line="276" w:lineRule="auto"/>
              <w:ind w:firstLine="288"/>
              <w:jc w:val="both"/>
              <w:textAlignment w:val="baseline"/>
              <w:rPr>
                <w:rFonts w:asciiTheme="minorHAnsi" w:hAnsiTheme="minorHAnsi" w:cstheme="minorHAnsi"/>
                <w:color w:val="000000"/>
              </w:rPr>
            </w:pPr>
            <w:r w:rsidRPr="00A06500">
              <w:rPr>
                <w:rFonts w:asciiTheme="minorHAnsi" w:hAnsiTheme="minorHAnsi" w:cstheme="minorHAnsi"/>
              </w:rPr>
              <w:t xml:space="preserve">ЗК 9. Здатність до адаптації та дії в новій ситуації, зокрема в міжнародному контексті. </w:t>
            </w:r>
          </w:p>
          <w:p w:rsidR="00D719CC" w:rsidRPr="00A06500" w:rsidRDefault="00D719CC" w:rsidP="005523E4">
            <w:pPr>
              <w:pStyle w:val="NormalWeb"/>
              <w:spacing w:before="0" w:after="0" w:line="276" w:lineRule="auto"/>
              <w:ind w:firstLine="288"/>
              <w:jc w:val="both"/>
              <w:textAlignment w:val="baseline"/>
              <w:rPr>
                <w:rFonts w:asciiTheme="minorHAnsi" w:hAnsiTheme="minorHAnsi" w:cstheme="minorHAnsi"/>
                <w:color w:val="000000"/>
              </w:rPr>
            </w:pPr>
            <w:r w:rsidRPr="00A06500">
              <w:rPr>
                <w:rFonts w:asciiTheme="minorHAnsi" w:hAnsiTheme="minorHAnsi" w:cstheme="minorHAnsi"/>
              </w:rPr>
              <w:t xml:space="preserve">ЗК 10. Навички міжособистісної взаємодії, цінування та повага різноманітності та </w:t>
            </w:r>
            <w:proofErr w:type="spellStart"/>
            <w:r w:rsidRPr="00A06500">
              <w:rPr>
                <w:rFonts w:asciiTheme="minorHAnsi" w:hAnsiTheme="minorHAnsi" w:cstheme="minorHAnsi"/>
              </w:rPr>
              <w:t>багатокультурності</w:t>
            </w:r>
            <w:proofErr w:type="spellEnd"/>
            <w:r w:rsidRPr="00A06500">
              <w:rPr>
                <w:rFonts w:asciiTheme="minorHAnsi" w:hAnsiTheme="minorHAnsi" w:cstheme="minorHAnsi"/>
              </w:rPr>
              <w:t>.</w:t>
            </w:r>
          </w:p>
          <w:p w:rsidR="00D719CC" w:rsidRPr="00A06500" w:rsidRDefault="00D719CC" w:rsidP="005523E4">
            <w:pPr>
              <w:pStyle w:val="NormalWeb"/>
              <w:spacing w:before="0" w:after="0" w:line="276" w:lineRule="auto"/>
              <w:ind w:firstLine="288"/>
              <w:jc w:val="both"/>
              <w:textAlignment w:val="baseline"/>
              <w:rPr>
                <w:rFonts w:asciiTheme="minorHAnsi" w:hAnsiTheme="minorHAnsi" w:cstheme="minorHAnsi"/>
                <w:color w:val="000000"/>
              </w:rPr>
            </w:pPr>
            <w:r w:rsidRPr="00A06500">
              <w:rPr>
                <w:rFonts w:asciiTheme="minorHAnsi" w:hAnsiTheme="minorHAnsi" w:cstheme="minorHAnsi"/>
              </w:rPr>
              <w:t xml:space="preserve">ЗК 11. Здатність діяти суспільно </w:t>
            </w:r>
            <w:proofErr w:type="spellStart"/>
            <w:r w:rsidRPr="00A06500">
              <w:rPr>
                <w:rFonts w:asciiTheme="minorHAnsi" w:hAnsiTheme="minorHAnsi" w:cstheme="minorHAnsi"/>
              </w:rPr>
              <w:t>відповідально</w:t>
            </w:r>
            <w:proofErr w:type="spellEnd"/>
            <w:r w:rsidRPr="00A06500">
              <w:rPr>
                <w:rFonts w:asciiTheme="minorHAnsi" w:hAnsiTheme="minorHAnsi" w:cstheme="minorHAnsi"/>
              </w:rPr>
              <w:t>, проявляти громадянську свідомість, відповідати за якість виконаної роботи.</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rPr>
                <w:rFonts w:asciiTheme="minorHAnsi" w:hAnsiTheme="minorHAnsi" w:cstheme="minorHAnsi"/>
                <w:sz w:val="24"/>
                <w:szCs w:val="24"/>
                <w:lang w:val="uk-UA"/>
              </w:rPr>
            </w:pPr>
            <w:r w:rsidRPr="00A06500">
              <w:rPr>
                <w:rFonts w:asciiTheme="minorHAnsi" w:hAnsiTheme="minorHAnsi" w:cstheme="minorHAnsi"/>
                <w:b/>
                <w:sz w:val="24"/>
                <w:szCs w:val="24"/>
                <w:highlight w:val="white"/>
                <w:lang w:val="uk-UA" w:eastAsia="uk-UA"/>
              </w:rPr>
              <w:lastRenderedPageBreak/>
              <w:t>Фахові компетентності спеціальності  (ФК)</w:t>
            </w:r>
          </w:p>
          <w:p w:rsidR="00D719CC" w:rsidRPr="00A06500" w:rsidRDefault="00D719CC" w:rsidP="00D719CC">
            <w:pPr>
              <w:rPr>
                <w:rFonts w:asciiTheme="minorHAnsi" w:hAnsiTheme="minorHAnsi" w:cstheme="minorHAnsi"/>
                <w:sz w:val="24"/>
                <w:szCs w:val="24"/>
                <w:lang w:val="uk-UA"/>
              </w:rPr>
            </w:pP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NormalWeb"/>
              <w:spacing w:before="0" w:after="0" w:line="276" w:lineRule="auto"/>
              <w:ind w:firstLine="288"/>
              <w:jc w:val="both"/>
              <w:rPr>
                <w:rFonts w:asciiTheme="minorHAnsi" w:hAnsiTheme="minorHAnsi" w:cstheme="minorHAnsi"/>
                <w:color w:val="000000"/>
                <w:lang w:bidi="ar-SA"/>
              </w:rPr>
            </w:pPr>
            <w:r w:rsidRPr="00A06500">
              <w:rPr>
                <w:rFonts w:asciiTheme="minorHAnsi" w:hAnsiTheme="minorHAnsi" w:cstheme="minorHAnsi"/>
              </w:rPr>
              <w:t>ФК 1.</w:t>
            </w:r>
            <w:r w:rsidRPr="00A06500">
              <w:rPr>
                <w:rFonts w:asciiTheme="minorHAnsi" w:hAnsiTheme="minorHAnsi" w:cstheme="minorHAnsi"/>
              </w:rPr>
              <w:tab/>
            </w:r>
            <w:r w:rsidRPr="00A06500">
              <w:rPr>
                <w:rFonts w:asciiTheme="minorHAnsi" w:hAnsiTheme="minorHAnsi" w:cstheme="minorHAnsi"/>
                <w:color w:val="000000"/>
                <w:lang w:bidi="ar-SA"/>
              </w:rPr>
              <w:t>Знання про природу, динаміку, принципи організації та історичні тенденції розвитку міжнародних відносин.</w:t>
            </w:r>
          </w:p>
          <w:p w:rsidR="00D719CC" w:rsidRPr="00A06500" w:rsidRDefault="00D719CC" w:rsidP="005523E4">
            <w:pPr>
              <w:pStyle w:val="NormalWeb"/>
              <w:spacing w:before="0" w:after="0" w:line="276" w:lineRule="auto"/>
              <w:ind w:firstLine="288"/>
              <w:jc w:val="both"/>
              <w:rPr>
                <w:rFonts w:asciiTheme="minorHAnsi" w:hAnsiTheme="minorHAnsi" w:cstheme="minorHAnsi"/>
                <w:color w:val="000000"/>
                <w:lang w:bidi="ar-SA"/>
              </w:rPr>
            </w:pPr>
            <w:r w:rsidRPr="00A06500">
              <w:rPr>
                <w:rFonts w:asciiTheme="minorHAnsi" w:hAnsiTheme="minorHAnsi" w:cstheme="minorHAnsi"/>
              </w:rPr>
              <w:t xml:space="preserve">ФК 2. </w:t>
            </w:r>
            <w:r w:rsidRPr="00A06500">
              <w:rPr>
                <w:rFonts w:asciiTheme="minorHAnsi" w:hAnsiTheme="minorHAnsi" w:cstheme="minorHAnsi"/>
                <w:color w:val="000000"/>
                <w:lang w:bidi="ar-SA"/>
              </w:rPr>
              <w:t xml:space="preserve">Здатність розуміти міжнародні відносини у різних контекстах, зокрема політичному, </w:t>
            </w:r>
            <w:proofErr w:type="spellStart"/>
            <w:r w:rsidRPr="00A06500">
              <w:rPr>
                <w:rFonts w:asciiTheme="minorHAnsi" w:hAnsiTheme="minorHAnsi" w:cstheme="minorHAnsi"/>
                <w:color w:val="000000"/>
                <w:lang w:bidi="ar-SA"/>
              </w:rPr>
              <w:t>безпековому</w:t>
            </w:r>
            <w:proofErr w:type="spellEnd"/>
            <w:r w:rsidRPr="00A06500">
              <w:rPr>
                <w:rFonts w:asciiTheme="minorHAnsi" w:hAnsiTheme="minorHAnsi" w:cstheme="minorHAnsi"/>
                <w:color w:val="000000"/>
                <w:lang w:bidi="ar-SA"/>
              </w:rPr>
              <w:t>, правовому, економічному, суспільному, культурному та інформаційному.</w:t>
            </w:r>
          </w:p>
          <w:p w:rsidR="00D719CC" w:rsidRPr="00A06500" w:rsidRDefault="00D719CC" w:rsidP="005523E4">
            <w:pPr>
              <w:pStyle w:val="NormalWeb"/>
              <w:spacing w:before="0" w:after="0" w:line="276" w:lineRule="auto"/>
              <w:ind w:firstLine="288"/>
              <w:jc w:val="both"/>
              <w:rPr>
                <w:rFonts w:asciiTheme="minorHAnsi" w:hAnsiTheme="minorHAnsi" w:cstheme="minorHAnsi"/>
                <w:color w:val="000000"/>
                <w:lang w:bidi="ar-SA"/>
              </w:rPr>
            </w:pPr>
            <w:r w:rsidRPr="00A06500">
              <w:rPr>
                <w:rFonts w:asciiTheme="minorHAnsi" w:hAnsiTheme="minorHAnsi" w:cstheme="minorHAnsi"/>
              </w:rPr>
              <w:t xml:space="preserve">ФК 3. </w:t>
            </w:r>
            <w:r w:rsidRPr="00A06500">
              <w:rPr>
                <w:rFonts w:asciiTheme="minorHAnsi" w:hAnsiTheme="minorHAnsi" w:cstheme="minorHAnsi"/>
                <w:color w:val="000000"/>
                <w:lang w:bidi="ar-SA"/>
              </w:rPr>
              <w:t>Знання про стан досліджень міжнародних відносин та світової політики у політичній, економічній, юридичній науках, у міждисциплінарних дослідженнях.</w:t>
            </w:r>
          </w:p>
          <w:p w:rsidR="00D719CC" w:rsidRPr="00A06500" w:rsidRDefault="00D719CC" w:rsidP="005523E4">
            <w:pPr>
              <w:pStyle w:val="NormalWeb"/>
              <w:spacing w:before="0" w:after="0" w:line="276" w:lineRule="auto"/>
              <w:ind w:firstLine="288"/>
              <w:jc w:val="both"/>
              <w:rPr>
                <w:rFonts w:asciiTheme="minorHAnsi" w:hAnsiTheme="minorHAnsi" w:cstheme="minorHAnsi"/>
                <w:color w:val="000000"/>
                <w:lang w:bidi="ar-SA"/>
              </w:rPr>
            </w:pPr>
            <w:r w:rsidRPr="00A06500">
              <w:rPr>
                <w:rFonts w:asciiTheme="minorHAnsi" w:hAnsiTheme="minorHAnsi" w:cstheme="minorHAnsi"/>
              </w:rPr>
              <w:t xml:space="preserve">ФК 4. </w:t>
            </w:r>
            <w:r w:rsidRPr="00A06500">
              <w:rPr>
                <w:rFonts w:asciiTheme="minorHAnsi" w:hAnsiTheme="minorHAnsi" w:cstheme="minorHAnsi"/>
                <w:color w:val="000000"/>
                <w:lang w:bidi="ar-SA"/>
              </w:rPr>
              <w:t>Знання про природу, джерела та інститути зовнішньої політики держави.</w:t>
            </w:r>
          </w:p>
          <w:p w:rsidR="00D719CC" w:rsidRPr="00A06500" w:rsidRDefault="00D719CC" w:rsidP="005523E4">
            <w:pPr>
              <w:pStyle w:val="NormalWeb"/>
              <w:spacing w:before="0" w:after="0" w:line="276" w:lineRule="auto"/>
              <w:ind w:firstLine="288"/>
              <w:jc w:val="both"/>
              <w:rPr>
                <w:rFonts w:asciiTheme="minorHAnsi" w:hAnsiTheme="minorHAnsi" w:cstheme="minorHAnsi"/>
                <w:lang w:bidi="ar-SA"/>
              </w:rPr>
            </w:pPr>
            <w:r w:rsidRPr="00A06500">
              <w:rPr>
                <w:rFonts w:asciiTheme="minorHAnsi" w:hAnsiTheme="minorHAnsi" w:cstheme="minorHAnsi"/>
              </w:rPr>
              <w:t xml:space="preserve">ФК 5. </w:t>
            </w:r>
            <w:r w:rsidRPr="00A06500">
              <w:rPr>
                <w:rFonts w:asciiTheme="minorHAnsi" w:hAnsiTheme="minorHAnsi" w:cstheme="minorHAnsi"/>
                <w:color w:val="000000"/>
                <w:lang w:bidi="ar-SA"/>
              </w:rPr>
              <w:t xml:space="preserve">Здатність самостійно досліджувати проблеми міжнародних відносин, готувати та здійснювати публічну апробацію результатів досліджень. </w:t>
            </w:r>
          </w:p>
          <w:p w:rsidR="00D719CC" w:rsidRPr="00A06500" w:rsidRDefault="00D719CC" w:rsidP="005523E4">
            <w:pPr>
              <w:pStyle w:val="NormalWeb"/>
              <w:spacing w:before="0" w:after="0" w:line="276" w:lineRule="auto"/>
              <w:ind w:firstLine="288"/>
              <w:jc w:val="both"/>
              <w:rPr>
                <w:rFonts w:asciiTheme="minorHAnsi" w:hAnsiTheme="minorHAnsi" w:cstheme="minorHAnsi"/>
                <w:lang w:bidi="ar-SA"/>
              </w:rPr>
            </w:pPr>
            <w:r w:rsidRPr="00A06500">
              <w:rPr>
                <w:rFonts w:asciiTheme="minorHAnsi" w:hAnsiTheme="minorHAnsi" w:cstheme="minorHAnsi"/>
              </w:rPr>
              <w:t xml:space="preserve">ФК 6. </w:t>
            </w:r>
            <w:r w:rsidRPr="00A06500">
              <w:rPr>
                <w:rFonts w:asciiTheme="minorHAnsi" w:hAnsiTheme="minorHAnsi" w:cstheme="minorHAnsi"/>
                <w:lang w:bidi="ar-SA"/>
              </w:rPr>
              <w:t>Розуміння основ сучасного міжнародного права та його впливу на структуру й динаміку міжнародних відносин та зовнішньої політики держав.</w:t>
            </w:r>
          </w:p>
          <w:p w:rsidR="00D719CC" w:rsidRPr="00A06500" w:rsidRDefault="00D719CC" w:rsidP="005523E4">
            <w:pPr>
              <w:pStyle w:val="NormalWeb"/>
              <w:spacing w:before="0" w:after="0" w:line="276" w:lineRule="auto"/>
              <w:ind w:firstLine="288"/>
              <w:jc w:val="both"/>
              <w:rPr>
                <w:rFonts w:asciiTheme="minorHAnsi" w:hAnsiTheme="minorHAnsi" w:cstheme="minorHAnsi"/>
                <w:lang w:bidi="ar-SA"/>
              </w:rPr>
            </w:pPr>
            <w:r w:rsidRPr="00A06500">
              <w:rPr>
                <w:rFonts w:asciiTheme="minorHAnsi" w:hAnsiTheme="minorHAnsi" w:cstheme="minorHAnsi"/>
              </w:rPr>
              <w:t xml:space="preserve">ФК 7. </w:t>
            </w:r>
            <w:r w:rsidRPr="00A06500">
              <w:rPr>
                <w:rFonts w:asciiTheme="minorHAnsi" w:hAnsiTheme="minorHAnsi" w:cstheme="minorHAnsi"/>
                <w:lang w:bidi="ar-SA"/>
              </w:rPr>
              <w:t>Розуміння основ сучасної світової економічної системи та структури міжнародних економічних відносин, та їх впливу на структуру й динаміку міжнародних відносин та зовнішньої політики держав.</w:t>
            </w:r>
          </w:p>
          <w:p w:rsidR="00D719CC" w:rsidRPr="00A06500" w:rsidRDefault="00D719CC" w:rsidP="005523E4">
            <w:pPr>
              <w:pStyle w:val="NormalWeb"/>
              <w:spacing w:before="0" w:after="0" w:line="276" w:lineRule="auto"/>
              <w:ind w:firstLine="288"/>
              <w:jc w:val="both"/>
              <w:rPr>
                <w:rFonts w:asciiTheme="minorHAnsi" w:hAnsiTheme="minorHAnsi" w:cstheme="minorHAnsi"/>
                <w:lang w:bidi="ar-SA"/>
              </w:rPr>
            </w:pPr>
            <w:r w:rsidRPr="00A06500">
              <w:rPr>
                <w:rFonts w:asciiTheme="minorHAnsi" w:hAnsiTheme="minorHAnsi" w:cstheme="minorHAnsi"/>
              </w:rPr>
              <w:t xml:space="preserve">ФК 8. </w:t>
            </w:r>
            <w:r w:rsidRPr="00A06500">
              <w:rPr>
                <w:rFonts w:asciiTheme="minorHAnsi" w:hAnsiTheme="minorHAnsi" w:cstheme="minorHAnsi"/>
                <w:lang w:bidi="ar-SA"/>
              </w:rPr>
              <w:t>Знання засад дипломатичної та консульської служби, дипломатичного протоколу та етикету,  уміння вести дипломатичне та ділове листування (українською та іноземними мовами).</w:t>
            </w:r>
          </w:p>
          <w:p w:rsidR="00D719CC" w:rsidRPr="00A06500" w:rsidRDefault="00D719CC" w:rsidP="005523E4">
            <w:pPr>
              <w:pStyle w:val="NormalWeb"/>
              <w:spacing w:before="0" w:after="0" w:line="276" w:lineRule="auto"/>
              <w:ind w:firstLine="288"/>
              <w:jc w:val="both"/>
              <w:rPr>
                <w:rFonts w:asciiTheme="minorHAnsi" w:hAnsiTheme="minorHAnsi" w:cstheme="minorHAnsi"/>
                <w:lang w:bidi="ar-SA"/>
              </w:rPr>
            </w:pPr>
            <w:r w:rsidRPr="00A06500">
              <w:rPr>
                <w:rFonts w:asciiTheme="minorHAnsi" w:hAnsiTheme="minorHAnsi" w:cstheme="minorHAnsi"/>
              </w:rPr>
              <w:lastRenderedPageBreak/>
              <w:t xml:space="preserve">ФК 9. </w:t>
            </w:r>
            <w:r w:rsidRPr="00A06500">
              <w:rPr>
                <w:rFonts w:asciiTheme="minorHAnsi" w:hAnsiTheme="minorHAnsi" w:cstheme="minorHAnsi"/>
                <w:lang w:bidi="ar-SA"/>
              </w:rPr>
              <w:t>Розуміння міжнародних інтеграційних процесів, головно на Європейському континенті, та місця в них України.</w:t>
            </w:r>
          </w:p>
          <w:p w:rsidR="00D719CC" w:rsidRPr="00A06500" w:rsidRDefault="00D719CC" w:rsidP="005523E4">
            <w:pPr>
              <w:pStyle w:val="NormalWeb"/>
              <w:spacing w:before="0" w:after="0" w:line="276" w:lineRule="auto"/>
              <w:ind w:firstLine="288"/>
              <w:jc w:val="both"/>
              <w:rPr>
                <w:rFonts w:asciiTheme="minorHAnsi" w:hAnsiTheme="minorHAnsi" w:cstheme="minorHAnsi"/>
                <w:color w:val="000000"/>
                <w:lang w:bidi="ar-SA"/>
              </w:rPr>
            </w:pPr>
            <w:r w:rsidRPr="00A06500">
              <w:rPr>
                <w:rFonts w:asciiTheme="minorHAnsi" w:hAnsiTheme="minorHAnsi" w:cstheme="minorHAnsi"/>
              </w:rPr>
              <w:t xml:space="preserve">ФК 10. </w:t>
            </w:r>
            <w:r w:rsidRPr="00A06500">
              <w:rPr>
                <w:rFonts w:asciiTheme="minorHAnsi" w:hAnsiTheme="minorHAnsi" w:cstheme="minorHAnsi"/>
                <w:lang w:bidi="ar-SA"/>
              </w:rPr>
              <w:t>Знання та розуміння національних інтересів України на міжнародній арені.</w:t>
            </w:r>
          </w:p>
          <w:p w:rsidR="00D719CC" w:rsidRPr="00A06500" w:rsidRDefault="00D719CC" w:rsidP="005523E4">
            <w:pPr>
              <w:pStyle w:val="NormalWeb"/>
              <w:spacing w:before="0" w:after="0" w:line="276" w:lineRule="auto"/>
              <w:ind w:firstLine="288"/>
              <w:jc w:val="both"/>
              <w:rPr>
                <w:rFonts w:asciiTheme="minorHAnsi" w:hAnsiTheme="minorHAnsi" w:cstheme="minorHAnsi"/>
                <w:color w:val="000000"/>
                <w:lang w:bidi="ar-SA"/>
              </w:rPr>
            </w:pPr>
            <w:r w:rsidRPr="00A06500">
              <w:rPr>
                <w:rFonts w:asciiTheme="minorHAnsi" w:hAnsiTheme="minorHAnsi" w:cstheme="minorHAnsi"/>
              </w:rPr>
              <w:t xml:space="preserve">ФК 11. </w:t>
            </w:r>
            <w:r w:rsidRPr="00A06500">
              <w:rPr>
                <w:rFonts w:asciiTheme="minorHAnsi" w:hAnsiTheme="minorHAnsi" w:cstheme="minorHAnsi"/>
                <w:color w:val="000000"/>
                <w:lang w:bidi="ar-SA"/>
              </w:rPr>
              <w:t>Розуміння характеристик розвитку країн та регіонів, особливостей та закономірностей глобальних процесів та місця в них окремих держав.</w:t>
            </w:r>
          </w:p>
          <w:p w:rsidR="00D719CC" w:rsidRPr="00A06500" w:rsidRDefault="00D719CC" w:rsidP="005523E4">
            <w:pPr>
              <w:pStyle w:val="NormalWeb"/>
              <w:spacing w:before="0" w:after="0" w:line="276" w:lineRule="auto"/>
              <w:ind w:firstLine="288"/>
              <w:jc w:val="both"/>
              <w:rPr>
                <w:rFonts w:asciiTheme="minorHAnsi" w:hAnsiTheme="minorHAnsi" w:cstheme="minorHAnsi"/>
                <w:color w:val="000000"/>
                <w:lang w:bidi="ar-SA"/>
              </w:rPr>
            </w:pPr>
            <w:r w:rsidRPr="00A06500">
              <w:rPr>
                <w:rFonts w:asciiTheme="minorHAnsi" w:hAnsiTheme="minorHAnsi" w:cstheme="minorHAnsi"/>
              </w:rPr>
              <w:t xml:space="preserve">ФК 12. </w:t>
            </w:r>
            <w:r w:rsidRPr="00A06500">
              <w:rPr>
                <w:rFonts w:asciiTheme="minorHAnsi" w:hAnsiTheme="minorHAnsi" w:cstheme="minorHAnsi"/>
                <w:color w:val="000000"/>
                <w:lang w:bidi="ar-SA"/>
              </w:rPr>
              <w:t xml:space="preserve">Знання природи та еволюції міжнародних організацій, їх місця у системі міжнародних відносин, основних форм та перспектив співпраці України з ними. </w:t>
            </w:r>
          </w:p>
          <w:p w:rsidR="00D719CC" w:rsidRPr="00A06500" w:rsidRDefault="00D719CC" w:rsidP="005523E4">
            <w:pPr>
              <w:pStyle w:val="NormalWeb"/>
              <w:spacing w:before="0" w:after="0" w:line="276" w:lineRule="auto"/>
              <w:ind w:firstLine="288"/>
              <w:jc w:val="both"/>
              <w:rPr>
                <w:rFonts w:asciiTheme="minorHAnsi" w:hAnsiTheme="minorHAnsi" w:cstheme="minorHAnsi"/>
                <w:color w:val="000000"/>
                <w:lang w:bidi="ar-SA"/>
              </w:rPr>
            </w:pPr>
            <w:r w:rsidRPr="00A06500">
              <w:rPr>
                <w:rFonts w:asciiTheme="minorHAnsi" w:hAnsiTheme="minorHAnsi" w:cstheme="minorHAnsi"/>
              </w:rPr>
              <w:t xml:space="preserve">ФК 13. </w:t>
            </w:r>
            <w:r w:rsidRPr="00A06500">
              <w:rPr>
                <w:rFonts w:asciiTheme="minorHAnsi" w:hAnsiTheme="minorHAnsi" w:cstheme="minorHAnsi"/>
                <w:color w:val="000000"/>
                <w:lang w:bidi="ar-SA"/>
              </w:rPr>
              <w:t>Здатність до здійснення комунікації та інформаційно-аналітичної діяльності у сфері міжнародних відносин (українською та іноземними мовами).</w:t>
            </w:r>
          </w:p>
          <w:p w:rsidR="00D719CC" w:rsidRPr="00A06500" w:rsidRDefault="00D719CC" w:rsidP="005523E4">
            <w:pPr>
              <w:tabs>
                <w:tab w:val="left" w:pos="360"/>
              </w:tabs>
              <w:ind w:firstLine="288"/>
              <w:contextualSpacing/>
              <w:jc w:val="both"/>
              <w:rPr>
                <w:rFonts w:asciiTheme="minorHAnsi" w:hAnsiTheme="minorHAnsi" w:cstheme="minorHAnsi"/>
                <w:color w:val="000000"/>
                <w:sz w:val="24"/>
                <w:szCs w:val="24"/>
                <w:lang w:val="uk-UA" w:eastAsia="uk-UA"/>
              </w:rPr>
            </w:pPr>
            <w:r w:rsidRPr="00A06500">
              <w:rPr>
                <w:rFonts w:asciiTheme="minorHAnsi" w:hAnsiTheme="minorHAnsi" w:cstheme="minorHAnsi"/>
                <w:sz w:val="24"/>
                <w:szCs w:val="24"/>
                <w:lang w:val="uk-UA"/>
              </w:rPr>
              <w:t xml:space="preserve">ФК 14. </w:t>
            </w:r>
            <w:r w:rsidRPr="00A06500">
              <w:rPr>
                <w:rFonts w:asciiTheme="minorHAnsi" w:hAnsiTheme="minorHAnsi" w:cstheme="minorHAnsi"/>
                <w:color w:val="000000"/>
                <w:sz w:val="24"/>
                <w:szCs w:val="24"/>
                <w:lang w:val="uk-UA"/>
              </w:rPr>
              <w:t>Знання про міжнародних недержавних акторів та транснаціональні відносини.</w:t>
            </w:r>
          </w:p>
        </w:tc>
      </w:tr>
      <w:tr w:rsidR="00D719CC" w:rsidRPr="00A06500" w:rsidTr="00D719CC">
        <w:tc>
          <w:tcPr>
            <w:tcW w:w="9924" w:type="dxa"/>
            <w:gridSpan w:val="2"/>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1"/>
              <w:shd w:val="clear" w:color="auto" w:fill="FFFFFF"/>
              <w:tabs>
                <w:tab w:val="left" w:pos="279"/>
              </w:tabs>
              <w:spacing w:after="0"/>
              <w:ind w:left="159" w:firstLine="288"/>
              <w:jc w:val="both"/>
              <w:textAlignment w:val="baseline"/>
              <w:rPr>
                <w:rFonts w:asciiTheme="minorHAnsi" w:hAnsiTheme="minorHAnsi" w:cstheme="minorHAnsi"/>
                <w:b/>
                <w:sz w:val="24"/>
                <w:szCs w:val="24"/>
                <w:highlight w:val="white"/>
                <w:lang w:val="uk-UA"/>
              </w:rPr>
            </w:pPr>
          </w:p>
          <w:p w:rsidR="00D719CC" w:rsidRPr="00A06500" w:rsidRDefault="00D719CC" w:rsidP="005523E4">
            <w:pPr>
              <w:pStyle w:val="1"/>
              <w:shd w:val="clear" w:color="auto" w:fill="FFFFFF"/>
              <w:tabs>
                <w:tab w:val="left" w:pos="279"/>
              </w:tabs>
              <w:spacing w:after="0"/>
              <w:ind w:left="159" w:firstLine="288"/>
              <w:jc w:val="both"/>
              <w:textAlignment w:val="baseline"/>
              <w:rPr>
                <w:rFonts w:asciiTheme="minorHAnsi" w:hAnsiTheme="minorHAnsi" w:cstheme="minorHAnsi"/>
                <w:sz w:val="24"/>
                <w:szCs w:val="24"/>
                <w:lang w:val="uk-UA"/>
              </w:rPr>
            </w:pPr>
            <w:r w:rsidRPr="00A06500">
              <w:rPr>
                <w:rFonts w:asciiTheme="minorHAnsi" w:hAnsiTheme="minorHAnsi" w:cstheme="minorHAnsi"/>
                <w:b/>
                <w:sz w:val="24"/>
                <w:szCs w:val="24"/>
                <w:highlight w:val="white"/>
                <w:lang w:val="uk-UA"/>
              </w:rPr>
              <w:t>7. Програмні результати навчання</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snapToGrid w:val="0"/>
              <w:rPr>
                <w:rFonts w:asciiTheme="minorHAnsi" w:hAnsiTheme="minorHAnsi" w:cstheme="minorHAnsi"/>
                <w:b/>
                <w:sz w:val="24"/>
                <w:szCs w:val="24"/>
                <w:lang w:val="uk-UA"/>
              </w:rPr>
            </w:pPr>
            <w:r w:rsidRPr="00A06500">
              <w:rPr>
                <w:rFonts w:asciiTheme="minorHAnsi" w:hAnsiTheme="minorHAnsi" w:cstheme="minorHAnsi"/>
                <w:b/>
                <w:bCs/>
                <w:sz w:val="24"/>
                <w:szCs w:val="24"/>
                <w:lang w:val="uk-UA"/>
              </w:rPr>
              <w:t>Проектувальні (аналітичні, дослідницькі)</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 xml:space="preserve">ПРНП 1. Демонструвати знання, набуті у процесі навчання, щодо </w:t>
            </w:r>
            <w:r w:rsidRPr="00A06500">
              <w:rPr>
                <w:rFonts w:asciiTheme="minorHAnsi" w:hAnsiTheme="minorHAnsi" w:cstheme="minorHAnsi"/>
                <w:color w:val="000000"/>
                <w:lang w:bidi="ar-SA"/>
              </w:rPr>
              <w:t>природи, еволюції, стану теоретичних досліджень міжнародних відносин та світової політики, а також про природу та джерела зовнішньої політики держав і діяльність інших учасників міжнародних відносин.</w:t>
            </w:r>
          </w:p>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ПРНП 2. Демонструвати знання про природу та механізми міжнародних комунікацій.</w:t>
            </w:r>
          </w:p>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ПРНП 3. Демонструвати знання про природу та характер взаємодій окремих країн та регіонів на глобальному, регіональному та локальному рівнях.</w:t>
            </w:r>
          </w:p>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ПРНП 4. Розуміти процес опису та оцінювання міжнародної ситуації, використання різних джерела інформації про міжнародні та зовнішньополітичні події та процеси</w:t>
            </w:r>
          </w:p>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 xml:space="preserve">ПРНП 5. Розуміти принципи використання теоретичних знань з міжнародних відносин, зовнішньої політики, міжнародної безпеки та конфліктів, міжнародної </w:t>
            </w:r>
            <w:proofErr w:type="spellStart"/>
            <w:r w:rsidRPr="00A06500">
              <w:rPr>
                <w:rFonts w:asciiTheme="minorHAnsi" w:hAnsiTheme="minorHAnsi" w:cstheme="minorHAnsi"/>
              </w:rPr>
              <w:t>регіоналістики</w:t>
            </w:r>
            <w:proofErr w:type="spellEnd"/>
            <w:r w:rsidRPr="00A06500">
              <w:rPr>
                <w:rFonts w:asciiTheme="minorHAnsi" w:hAnsiTheme="minorHAnsi" w:cstheme="minorHAnsi"/>
              </w:rPr>
              <w:t xml:space="preserve"> при вирішенні практичних завдань.</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snapToGrid w:val="0"/>
              <w:rPr>
                <w:rFonts w:asciiTheme="minorHAnsi" w:hAnsiTheme="minorHAnsi" w:cstheme="minorHAnsi"/>
                <w:sz w:val="24"/>
                <w:szCs w:val="24"/>
                <w:lang w:val="uk-UA"/>
              </w:rPr>
            </w:pPr>
            <w:r w:rsidRPr="00A06500">
              <w:rPr>
                <w:rFonts w:asciiTheme="minorHAnsi" w:hAnsiTheme="minorHAnsi" w:cstheme="minorHAnsi"/>
                <w:b/>
                <w:bCs/>
                <w:sz w:val="24"/>
                <w:szCs w:val="24"/>
                <w:lang w:val="uk-UA"/>
              </w:rPr>
              <w:t>Організаційні</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ПРНО 1. Збирати, обробляти й упорядковувати великий обсяг інформації про стан міжнародних відносин, зовнішньої політики України та інших держав.</w:t>
            </w:r>
          </w:p>
          <w:p w:rsidR="00D719CC" w:rsidRPr="00A06500" w:rsidRDefault="00D719CC" w:rsidP="005523E4">
            <w:pPr>
              <w:pStyle w:val="NormalWeb"/>
              <w:spacing w:before="0" w:after="0" w:line="276" w:lineRule="auto"/>
              <w:ind w:firstLine="288"/>
              <w:jc w:val="both"/>
              <w:rPr>
                <w:rFonts w:asciiTheme="minorHAnsi" w:hAnsiTheme="minorHAnsi" w:cstheme="minorHAnsi"/>
                <w:color w:val="000000"/>
                <w:lang w:bidi="ar-SA"/>
              </w:rPr>
            </w:pPr>
            <w:r w:rsidRPr="00A06500">
              <w:rPr>
                <w:rFonts w:asciiTheme="minorHAnsi" w:hAnsiTheme="minorHAnsi" w:cstheme="minorHAnsi"/>
              </w:rPr>
              <w:t xml:space="preserve">ПРНО 2. Визначати політичні, дипломатичні, </w:t>
            </w:r>
            <w:proofErr w:type="spellStart"/>
            <w:r w:rsidRPr="00A06500">
              <w:rPr>
                <w:rFonts w:asciiTheme="minorHAnsi" w:hAnsiTheme="minorHAnsi" w:cstheme="minorHAnsi"/>
              </w:rPr>
              <w:t>безпекові</w:t>
            </w:r>
            <w:proofErr w:type="spellEnd"/>
            <w:r w:rsidRPr="00A06500">
              <w:rPr>
                <w:rFonts w:asciiTheme="minorHAnsi" w:hAnsiTheme="minorHAnsi" w:cstheme="minorHAnsi"/>
              </w:rPr>
              <w:t>, суспільні, юридичні, економічні й інші ризики у сфері міжнародних відносин та глобальних процесів.</w:t>
            </w:r>
          </w:p>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 xml:space="preserve">ПРНО 3. </w:t>
            </w:r>
            <w:r w:rsidRPr="00A06500">
              <w:rPr>
                <w:rFonts w:asciiTheme="minorHAnsi" w:hAnsiTheme="minorHAnsi" w:cstheme="minorHAnsi"/>
                <w:color w:val="000000"/>
                <w:lang w:bidi="ar-SA"/>
              </w:rPr>
              <w:t xml:space="preserve">Проводити самостійні дослідження проблем міжнародних відносин із використанням наукових теорій та концепцій, наукових методів та міждисциплінарних </w:t>
            </w:r>
            <w:r w:rsidRPr="00A06500">
              <w:rPr>
                <w:rFonts w:asciiTheme="minorHAnsi" w:hAnsiTheme="minorHAnsi" w:cstheme="minorHAnsi"/>
                <w:color w:val="000000"/>
                <w:lang w:bidi="ar-SA"/>
              </w:rPr>
              <w:lastRenderedPageBreak/>
              <w:t xml:space="preserve">підходів. </w:t>
            </w:r>
          </w:p>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ПРНО 4. Аналізувати та оцінювати концептуальні підходи до вирішення проблем міжнародних відносин та зовнішньої політики.</w:t>
            </w:r>
          </w:p>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ПРНО 5. Володіти іноземними мовами на професійному рівні.</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pStyle w:val="Default"/>
              <w:rPr>
                <w:rFonts w:asciiTheme="minorHAnsi" w:hAnsiTheme="minorHAnsi" w:cstheme="minorHAnsi"/>
                <w:b/>
                <w:bCs/>
                <w:lang w:val="uk-UA"/>
              </w:rPr>
            </w:pPr>
            <w:r w:rsidRPr="00A06500">
              <w:rPr>
                <w:rFonts w:asciiTheme="minorHAnsi" w:hAnsiTheme="minorHAnsi" w:cstheme="minorHAnsi"/>
                <w:b/>
                <w:bCs/>
                <w:lang w:val="uk-UA"/>
              </w:rPr>
              <w:lastRenderedPageBreak/>
              <w:t>Управлінські</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ПРНУ 1. Виконання функції керівника (наукового керівника)</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ПРНУ 2. Планування проведення інформаційно-аналітичних робіт</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ПРНУ 3. Розподіл завдання та організовувати контроль за їх виконанням</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ПРНУ 4. Забезпечення умови роботи членів групи.</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snapToGrid w:val="0"/>
              <w:rPr>
                <w:rFonts w:asciiTheme="minorHAnsi" w:hAnsiTheme="minorHAnsi" w:cstheme="minorHAnsi"/>
                <w:b/>
                <w:sz w:val="24"/>
                <w:szCs w:val="24"/>
                <w:lang w:val="uk-UA"/>
              </w:rPr>
            </w:pPr>
            <w:r w:rsidRPr="00A06500">
              <w:rPr>
                <w:rFonts w:asciiTheme="minorHAnsi" w:hAnsiTheme="minorHAnsi" w:cstheme="minorHAnsi"/>
                <w:b/>
                <w:sz w:val="24"/>
                <w:szCs w:val="24"/>
                <w:lang w:val="uk-UA"/>
              </w:rPr>
              <w:t>Виконавські</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ПРНВ 1. Аналізувати інформацію про стан міжнародних відносин, зовнішньої політики України та інших держав, готувати інформаційні та аналітичні документи, із дотриманням норм та правил їх оформлення.</w:t>
            </w:r>
          </w:p>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ПРНВ 2. Оцінювати події міжнародного життя, процеси в сфері міжнародного співробітництва та міжнародної безпеки, стан взаємодії та конфлікту в міжнародних системах.</w:t>
            </w:r>
          </w:p>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ПРНВ 3. Здійснювати діяльність у дипломатичній та інших суміжних до міжнародного співробітництва сферах.</w:t>
            </w:r>
          </w:p>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 xml:space="preserve">ПРНВ 4. Здійснювати самостійні індивідуальні та групові дослідження в сфері міжнародних відносин, зовнішньої політики, </w:t>
            </w:r>
            <w:proofErr w:type="spellStart"/>
            <w:r w:rsidRPr="00A06500">
              <w:rPr>
                <w:rFonts w:asciiTheme="minorHAnsi" w:hAnsiTheme="minorHAnsi" w:cstheme="minorHAnsi"/>
              </w:rPr>
              <w:t>регіонознавства</w:t>
            </w:r>
            <w:proofErr w:type="spellEnd"/>
            <w:r w:rsidRPr="00A06500">
              <w:rPr>
                <w:rFonts w:asciiTheme="minorHAnsi" w:hAnsiTheme="minorHAnsi" w:cstheme="minorHAnsi"/>
              </w:rPr>
              <w:t xml:space="preserve"> та міжнародних комунікацій, готувати та оприлюднювати звіти про результати досліджень.  </w:t>
            </w:r>
          </w:p>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 xml:space="preserve">ПРНВ 5. Виконувати професійний усний та письмовий переклад з/на іноземну мову, зокрема, з фахової тематики міжнародного співробітництва, зовнішньої політики, міжнародних комунікацій, </w:t>
            </w:r>
            <w:proofErr w:type="spellStart"/>
            <w:r w:rsidRPr="00A06500">
              <w:rPr>
                <w:rFonts w:asciiTheme="minorHAnsi" w:hAnsiTheme="minorHAnsi" w:cstheme="minorHAnsi"/>
              </w:rPr>
              <w:t>дво</w:t>
            </w:r>
            <w:proofErr w:type="spellEnd"/>
            <w:r w:rsidRPr="00A06500">
              <w:rPr>
                <w:rFonts w:asciiTheme="minorHAnsi" w:hAnsiTheme="minorHAnsi" w:cstheme="minorHAnsi"/>
              </w:rPr>
              <w:t>- та багатосторонніх міжнародних проектів.</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snapToGrid w:val="0"/>
              <w:rPr>
                <w:rFonts w:asciiTheme="minorHAnsi" w:hAnsiTheme="minorHAnsi" w:cstheme="minorHAnsi"/>
                <w:b/>
                <w:sz w:val="24"/>
                <w:szCs w:val="24"/>
                <w:lang w:val="uk-UA"/>
              </w:rPr>
            </w:pPr>
            <w:r w:rsidRPr="00A06500">
              <w:rPr>
                <w:rFonts w:asciiTheme="minorHAnsi" w:hAnsiTheme="minorHAnsi" w:cstheme="minorHAnsi"/>
                <w:b/>
                <w:sz w:val="24"/>
                <w:szCs w:val="24"/>
                <w:lang w:val="uk-UA"/>
              </w:rPr>
              <w:t>Комунікаційні</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ПРНК 1. Вести ділову бесіду у сфері міжнародних відносин і зовнішньої політики.</w:t>
            </w:r>
          </w:p>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ПРНК 2. Брати участь у фахових дискусіях із проблем міжнародних відносин, зовнішньої політики та міжнародних комунікацій, поважати опонентів і їхню точки зору.</w:t>
            </w:r>
          </w:p>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ПРНК 3. Використовувати сучасні інформаційні та комунікаційні технології у сфері міжнародних відносин.</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pStyle w:val="NormalWeb"/>
              <w:spacing w:before="0" w:after="0"/>
              <w:jc w:val="both"/>
              <w:rPr>
                <w:rFonts w:asciiTheme="minorHAnsi" w:hAnsiTheme="minorHAnsi" w:cstheme="minorHAnsi"/>
                <w:b/>
              </w:rPr>
            </w:pPr>
            <w:r w:rsidRPr="00A06500">
              <w:rPr>
                <w:rFonts w:asciiTheme="minorHAnsi" w:hAnsiTheme="minorHAnsi" w:cstheme="minorHAnsi"/>
                <w:b/>
              </w:rPr>
              <w:t>Автономія і</w:t>
            </w:r>
          </w:p>
          <w:p w:rsidR="00D719CC" w:rsidRPr="00A06500" w:rsidRDefault="00D719CC" w:rsidP="00D719CC">
            <w:pPr>
              <w:snapToGrid w:val="0"/>
              <w:rPr>
                <w:rFonts w:asciiTheme="minorHAnsi" w:hAnsiTheme="minorHAnsi" w:cstheme="minorHAnsi"/>
                <w:b/>
                <w:sz w:val="24"/>
                <w:szCs w:val="24"/>
                <w:lang w:val="uk-UA"/>
              </w:rPr>
            </w:pPr>
            <w:r w:rsidRPr="00A06500">
              <w:rPr>
                <w:rFonts w:asciiTheme="minorHAnsi" w:hAnsiTheme="minorHAnsi" w:cstheme="minorHAnsi"/>
                <w:b/>
                <w:sz w:val="24"/>
                <w:szCs w:val="24"/>
                <w:lang w:val="uk-UA"/>
              </w:rPr>
              <w:t>відповідальність</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 xml:space="preserve">ПРНА 1. Відстоювати інтереси України у різних сферах міжнародних відносин </w:t>
            </w:r>
          </w:p>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ПРНА 2. Демонструвати здатність до подальшого навчання з високим рівнем автономності.</w:t>
            </w:r>
          </w:p>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lastRenderedPageBreak/>
              <w:t>ПРНА 3. Оцінювати результати власної роботи і нести відповідальність  за  особистий  професійний розвиток.</w:t>
            </w:r>
          </w:p>
          <w:p w:rsidR="00D719CC" w:rsidRPr="00A06500" w:rsidRDefault="00D719CC" w:rsidP="005523E4">
            <w:pPr>
              <w:pStyle w:val="NormalWeb"/>
              <w:spacing w:before="0" w:after="0" w:line="276" w:lineRule="auto"/>
              <w:ind w:firstLine="288"/>
              <w:jc w:val="both"/>
              <w:rPr>
                <w:rFonts w:asciiTheme="minorHAnsi" w:hAnsiTheme="minorHAnsi" w:cstheme="minorHAnsi"/>
              </w:rPr>
            </w:pPr>
            <w:r w:rsidRPr="00A06500">
              <w:rPr>
                <w:rFonts w:asciiTheme="minorHAnsi" w:hAnsiTheme="minorHAnsi" w:cstheme="minorHAnsi"/>
              </w:rPr>
              <w:t>ПРНА 4. Самостійно приймати рішення, бути лідером, нести відповідальність за командну роботу.</w:t>
            </w:r>
          </w:p>
        </w:tc>
      </w:tr>
      <w:tr w:rsidR="00D719CC" w:rsidRPr="00A06500" w:rsidTr="00D719CC">
        <w:tc>
          <w:tcPr>
            <w:tcW w:w="9924" w:type="dxa"/>
            <w:gridSpan w:val="2"/>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1"/>
              <w:shd w:val="clear" w:color="auto" w:fill="FFFFFF"/>
              <w:tabs>
                <w:tab w:val="left" w:pos="279"/>
              </w:tabs>
              <w:spacing w:after="0"/>
              <w:ind w:left="159" w:firstLine="288"/>
              <w:jc w:val="both"/>
              <w:textAlignment w:val="baseline"/>
              <w:rPr>
                <w:rFonts w:asciiTheme="minorHAnsi" w:hAnsiTheme="minorHAnsi" w:cstheme="minorHAnsi"/>
                <w:b/>
                <w:sz w:val="24"/>
                <w:szCs w:val="24"/>
                <w:lang w:val="uk-UA"/>
              </w:rPr>
            </w:pPr>
          </w:p>
          <w:p w:rsidR="00D719CC" w:rsidRPr="00A06500" w:rsidRDefault="00D719CC" w:rsidP="005523E4">
            <w:pPr>
              <w:pStyle w:val="1"/>
              <w:shd w:val="clear" w:color="auto" w:fill="FFFFFF"/>
              <w:tabs>
                <w:tab w:val="left" w:pos="279"/>
              </w:tabs>
              <w:spacing w:after="0"/>
              <w:ind w:left="159" w:firstLine="288"/>
              <w:jc w:val="both"/>
              <w:textAlignment w:val="baseline"/>
              <w:rPr>
                <w:rFonts w:asciiTheme="minorHAnsi" w:hAnsiTheme="minorHAnsi" w:cstheme="minorHAnsi"/>
                <w:sz w:val="24"/>
                <w:szCs w:val="24"/>
                <w:lang w:val="uk-UA"/>
              </w:rPr>
            </w:pPr>
            <w:r w:rsidRPr="00A06500">
              <w:rPr>
                <w:rFonts w:asciiTheme="minorHAnsi" w:hAnsiTheme="minorHAnsi" w:cstheme="minorHAnsi"/>
                <w:b/>
                <w:sz w:val="24"/>
                <w:szCs w:val="24"/>
                <w:lang w:val="uk-UA"/>
              </w:rPr>
              <w:t>8. Ресурсне забезпечення реалізації програми</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jc w:val="both"/>
              <w:rPr>
                <w:rFonts w:asciiTheme="minorHAnsi" w:hAnsiTheme="minorHAnsi" w:cstheme="minorHAnsi"/>
                <w:sz w:val="24"/>
                <w:szCs w:val="24"/>
                <w:lang w:val="uk-UA"/>
              </w:rPr>
            </w:pPr>
            <w:r w:rsidRPr="00A06500">
              <w:rPr>
                <w:rFonts w:asciiTheme="minorHAnsi" w:hAnsiTheme="minorHAnsi" w:cstheme="minorHAnsi"/>
                <w:b/>
                <w:sz w:val="24"/>
                <w:szCs w:val="24"/>
                <w:lang w:val="uk-UA"/>
              </w:rPr>
              <w:t>Кадрове забезпечення</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1"/>
              <w:shd w:val="clear" w:color="auto" w:fill="FFFFFF"/>
              <w:tabs>
                <w:tab w:val="left" w:pos="279"/>
              </w:tabs>
              <w:snapToGrid w:val="0"/>
              <w:spacing w:after="0"/>
              <w:ind w:left="0" w:firstLine="288"/>
              <w:jc w:val="both"/>
              <w:textAlignment w:val="baseline"/>
              <w:rPr>
                <w:rFonts w:asciiTheme="minorHAnsi" w:hAnsiTheme="minorHAnsi" w:cstheme="minorHAnsi"/>
                <w:sz w:val="24"/>
                <w:szCs w:val="24"/>
                <w:lang w:val="uk-UA"/>
              </w:rPr>
            </w:pPr>
            <w:r w:rsidRPr="00A06500">
              <w:rPr>
                <w:rFonts w:asciiTheme="minorHAnsi" w:hAnsiTheme="minorHAnsi" w:cstheme="minorHAnsi"/>
                <w:sz w:val="24"/>
                <w:szCs w:val="24"/>
                <w:lang w:val="uk-UA"/>
              </w:rPr>
              <w:t xml:space="preserve">Понад 90% професорсько-викладацького складу, задіяного у викладанні </w:t>
            </w:r>
            <w:proofErr w:type="spellStart"/>
            <w:r w:rsidRPr="00A06500">
              <w:rPr>
                <w:rFonts w:asciiTheme="minorHAnsi" w:hAnsiTheme="minorHAnsi" w:cstheme="minorHAnsi"/>
                <w:sz w:val="24"/>
                <w:szCs w:val="24"/>
                <w:lang w:val="uk-UA"/>
              </w:rPr>
              <w:t>професійно</w:t>
            </w:r>
            <w:proofErr w:type="spellEnd"/>
            <w:r w:rsidRPr="00A06500">
              <w:rPr>
                <w:rFonts w:asciiTheme="minorHAnsi" w:hAnsiTheme="minorHAnsi" w:cstheme="minorHAnsi"/>
                <w:sz w:val="24"/>
                <w:szCs w:val="24"/>
                <w:lang w:val="uk-UA"/>
              </w:rPr>
              <w:t>-орієнтованих дисциплін, мають наукові ступені та/або вчені звання за відповідною або спорідненими спеціальностями.</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Штатний розпис кафедри </w:t>
            </w:r>
            <w:r w:rsidR="005523E4" w:rsidRPr="00A06500">
              <w:rPr>
                <w:rFonts w:asciiTheme="minorHAnsi" w:hAnsiTheme="minorHAnsi" w:cstheme="minorHAnsi"/>
                <w:lang w:val="uk-UA"/>
              </w:rPr>
              <w:t xml:space="preserve">міжнародних відносин  і дипломатичної служби </w:t>
            </w:r>
            <w:r w:rsidRPr="00A06500">
              <w:rPr>
                <w:rFonts w:asciiTheme="minorHAnsi" w:hAnsiTheme="minorHAnsi" w:cstheme="minorHAnsi"/>
                <w:lang w:val="uk-UA"/>
              </w:rPr>
              <w:t xml:space="preserve">становить </w:t>
            </w:r>
            <w:r w:rsidR="005523E4" w:rsidRPr="00A06500">
              <w:rPr>
                <w:rFonts w:asciiTheme="minorHAnsi" w:hAnsiTheme="minorHAnsi" w:cstheme="minorHAnsi"/>
                <w:highlight w:val="yellow"/>
                <w:lang w:val="uk-UA"/>
              </w:rPr>
              <w:t>__</w:t>
            </w:r>
            <w:r w:rsidRPr="00A06500">
              <w:rPr>
                <w:rFonts w:asciiTheme="minorHAnsi" w:hAnsiTheme="minorHAnsi" w:cstheme="minorHAnsi"/>
                <w:lang w:val="uk-UA"/>
              </w:rPr>
              <w:t xml:space="preserve"> ставок, які на штатній основі займають завідувач кафедри, </w:t>
            </w:r>
            <w:r w:rsidR="005523E4" w:rsidRPr="00A06500">
              <w:rPr>
                <w:rFonts w:asciiTheme="minorHAnsi" w:hAnsiTheme="minorHAnsi" w:cstheme="minorHAnsi"/>
                <w:lang w:val="uk-UA"/>
              </w:rPr>
              <w:softHyphen/>
              <w:t xml:space="preserve">_ </w:t>
            </w:r>
            <w:r w:rsidRPr="00A06500">
              <w:rPr>
                <w:rFonts w:asciiTheme="minorHAnsi" w:hAnsiTheme="minorHAnsi" w:cstheme="minorHAnsi"/>
                <w:lang w:val="uk-UA"/>
              </w:rPr>
              <w:t>професор</w:t>
            </w:r>
            <w:r w:rsidR="005523E4" w:rsidRPr="00A06500">
              <w:rPr>
                <w:rFonts w:asciiTheme="minorHAnsi" w:hAnsiTheme="minorHAnsi" w:cstheme="minorHAnsi"/>
                <w:lang w:val="uk-UA"/>
              </w:rPr>
              <w:t>и</w:t>
            </w:r>
            <w:r w:rsidRPr="00A06500">
              <w:rPr>
                <w:rFonts w:asciiTheme="minorHAnsi" w:hAnsiTheme="minorHAnsi" w:cstheme="minorHAnsi"/>
                <w:lang w:val="uk-UA"/>
              </w:rPr>
              <w:t xml:space="preserve">, </w:t>
            </w:r>
            <w:r w:rsidR="005523E4" w:rsidRPr="00A06500">
              <w:rPr>
                <w:rFonts w:asciiTheme="minorHAnsi" w:hAnsiTheme="minorHAnsi" w:cstheme="minorHAnsi"/>
                <w:highlight w:val="yellow"/>
                <w:lang w:val="uk-UA"/>
              </w:rPr>
              <w:t>__</w:t>
            </w:r>
            <w:r w:rsidRPr="00A06500">
              <w:rPr>
                <w:rFonts w:asciiTheme="minorHAnsi" w:hAnsiTheme="minorHAnsi" w:cstheme="minorHAnsi"/>
                <w:lang w:val="uk-UA"/>
              </w:rPr>
              <w:t>доцентів</w:t>
            </w:r>
            <w:r w:rsidR="005523E4" w:rsidRPr="00A06500">
              <w:rPr>
                <w:rFonts w:asciiTheme="minorHAnsi" w:hAnsiTheme="minorHAnsi" w:cstheme="minorHAnsi"/>
                <w:lang w:val="uk-UA"/>
              </w:rPr>
              <w:t xml:space="preserve">, </w:t>
            </w:r>
            <w:r w:rsidR="005523E4" w:rsidRPr="00A06500">
              <w:rPr>
                <w:rFonts w:asciiTheme="minorHAnsi" w:hAnsiTheme="minorHAnsi" w:cstheme="minorHAnsi"/>
                <w:highlight w:val="yellow"/>
                <w:lang w:val="uk-UA"/>
              </w:rPr>
              <w:t>__</w:t>
            </w:r>
            <w:r w:rsidR="005523E4" w:rsidRPr="00A06500">
              <w:rPr>
                <w:rFonts w:asciiTheme="minorHAnsi" w:hAnsiTheme="minorHAnsi" w:cstheme="minorHAnsi"/>
                <w:lang w:val="uk-UA"/>
              </w:rPr>
              <w:t xml:space="preserve"> асистентів</w:t>
            </w:r>
            <w:r w:rsidRPr="00A06500">
              <w:rPr>
                <w:rFonts w:asciiTheme="minorHAnsi" w:hAnsiTheme="minorHAnsi" w:cstheme="minorHAnsi"/>
                <w:lang w:val="uk-UA"/>
              </w:rPr>
              <w:t>.</w:t>
            </w:r>
          </w:p>
          <w:p w:rsidR="00D719CC" w:rsidRPr="00A06500" w:rsidRDefault="005523E4"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К</w:t>
            </w:r>
            <w:r w:rsidR="00D719CC" w:rsidRPr="00A06500">
              <w:rPr>
                <w:rFonts w:asciiTheme="minorHAnsi" w:hAnsiTheme="minorHAnsi" w:cstheme="minorHAnsi"/>
                <w:lang w:val="uk-UA"/>
              </w:rPr>
              <w:t>афедр</w:t>
            </w:r>
            <w:r w:rsidRPr="00A06500">
              <w:rPr>
                <w:rFonts w:asciiTheme="minorHAnsi" w:hAnsiTheme="minorHAnsi" w:cstheme="minorHAnsi"/>
                <w:lang w:val="uk-UA"/>
              </w:rPr>
              <w:t>а м</w:t>
            </w:r>
            <w:r w:rsidR="00D719CC" w:rsidRPr="00A06500">
              <w:rPr>
                <w:rFonts w:asciiTheme="minorHAnsi" w:hAnsiTheme="minorHAnsi" w:cstheme="minorHAnsi"/>
                <w:lang w:val="uk-UA"/>
              </w:rPr>
              <w:t>іжнародних в</w:t>
            </w:r>
            <w:r w:rsidRPr="00A06500">
              <w:rPr>
                <w:rFonts w:asciiTheme="minorHAnsi" w:hAnsiTheme="minorHAnsi" w:cstheme="minorHAnsi"/>
                <w:lang w:val="uk-UA"/>
              </w:rPr>
              <w:t xml:space="preserve">ідносин і дипломатичної служби </w:t>
            </w:r>
            <w:r w:rsidR="00D719CC" w:rsidRPr="00A06500">
              <w:rPr>
                <w:rFonts w:asciiTheme="minorHAnsi" w:hAnsiTheme="minorHAnsi" w:cstheme="minorHAnsi"/>
                <w:lang w:val="uk-UA"/>
              </w:rPr>
              <w:t>постійно працю</w:t>
            </w:r>
            <w:r w:rsidRPr="00A06500">
              <w:rPr>
                <w:rFonts w:asciiTheme="minorHAnsi" w:hAnsiTheme="minorHAnsi" w:cstheme="minorHAnsi"/>
                <w:lang w:val="uk-UA"/>
              </w:rPr>
              <w:t>є</w:t>
            </w:r>
            <w:r w:rsidR="00D719CC" w:rsidRPr="00A06500">
              <w:rPr>
                <w:rFonts w:asciiTheme="minorHAnsi" w:hAnsiTheme="minorHAnsi" w:cstheme="minorHAnsi"/>
                <w:lang w:val="uk-UA"/>
              </w:rPr>
              <w:t xml:space="preserve"> над реалізацією механізмів кар’єрного росту науково-педагогічних працівників, їхньої мотивації до якісної професійної діяльності. Викладачі кафедр постійно підвищують свою педагогічну майстерність і фаховий рівень шляхом:</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w:t>
            </w:r>
            <w:r w:rsidRPr="00A06500">
              <w:rPr>
                <w:rFonts w:asciiTheme="minorHAnsi" w:hAnsiTheme="minorHAnsi" w:cstheme="minorHAnsi"/>
                <w:lang w:val="uk-UA"/>
              </w:rPr>
              <w:tab/>
              <w:t>роботи над дисертаційними дослідженнями;</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w:t>
            </w:r>
            <w:r w:rsidRPr="00A06500">
              <w:rPr>
                <w:rFonts w:asciiTheme="minorHAnsi" w:hAnsiTheme="minorHAnsi" w:cstheme="minorHAnsi"/>
                <w:lang w:val="uk-UA"/>
              </w:rPr>
              <w:tab/>
              <w:t>проведення наукових досліджень;</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w:t>
            </w:r>
            <w:r w:rsidRPr="00A06500">
              <w:rPr>
                <w:rFonts w:asciiTheme="minorHAnsi" w:hAnsiTheme="minorHAnsi" w:cstheme="minorHAnsi"/>
                <w:lang w:val="uk-UA"/>
              </w:rPr>
              <w:tab/>
              <w:t>участю у семінарах і конференціях (кафедральних, міжвузівських, всеукраїнських, міжнародних);</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w:t>
            </w:r>
            <w:r w:rsidRPr="00A06500">
              <w:rPr>
                <w:rFonts w:asciiTheme="minorHAnsi" w:hAnsiTheme="minorHAnsi" w:cstheme="minorHAnsi"/>
                <w:lang w:val="uk-UA"/>
              </w:rPr>
              <w:tab/>
              <w:t>участі в роботі наукових та  методичних семінарів, круглих столів;</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w:t>
            </w:r>
            <w:r w:rsidRPr="00A06500">
              <w:rPr>
                <w:rFonts w:asciiTheme="minorHAnsi" w:hAnsiTheme="minorHAnsi" w:cstheme="minorHAnsi"/>
                <w:lang w:val="uk-UA"/>
              </w:rPr>
              <w:tab/>
              <w:t>стажування в інших ВНЗ та за кордоном;</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w:t>
            </w:r>
            <w:r w:rsidRPr="00A06500">
              <w:rPr>
                <w:rFonts w:asciiTheme="minorHAnsi" w:hAnsiTheme="minorHAnsi" w:cstheme="minorHAnsi"/>
                <w:lang w:val="uk-UA"/>
              </w:rPr>
              <w:tab/>
              <w:t>для молодих викладачів на кафедрах створено методичний семінар, на якому досвідчені викладачі діляться з викладачами-початківцями досвідом, методичними напрацюваннями тощо.</w:t>
            </w:r>
          </w:p>
          <w:p w:rsidR="00D719CC" w:rsidRPr="00A06500" w:rsidRDefault="00D719CC" w:rsidP="005523E4">
            <w:pPr>
              <w:pStyle w:val="1"/>
              <w:shd w:val="clear" w:color="auto" w:fill="FFFFFF"/>
              <w:tabs>
                <w:tab w:val="left" w:pos="279"/>
              </w:tabs>
              <w:snapToGrid w:val="0"/>
              <w:spacing w:after="0"/>
              <w:ind w:left="0" w:firstLine="288"/>
              <w:jc w:val="both"/>
              <w:textAlignment w:val="baseline"/>
              <w:rPr>
                <w:rFonts w:asciiTheme="minorHAnsi" w:hAnsiTheme="minorHAnsi" w:cstheme="minorHAnsi"/>
                <w:sz w:val="24"/>
                <w:szCs w:val="24"/>
                <w:lang w:val="uk-UA"/>
              </w:rPr>
            </w:pPr>
            <w:r w:rsidRPr="00A06500">
              <w:rPr>
                <w:rFonts w:asciiTheme="minorHAnsi" w:hAnsiTheme="minorHAnsi" w:cstheme="minorHAnsi"/>
                <w:sz w:val="24"/>
                <w:szCs w:val="24"/>
                <w:lang w:val="uk-UA"/>
              </w:rPr>
              <w:t xml:space="preserve">Усі науково-педагогічні працівники </w:t>
            </w:r>
            <w:r w:rsidR="005523E4" w:rsidRPr="00A06500">
              <w:rPr>
                <w:rFonts w:asciiTheme="minorHAnsi" w:hAnsiTheme="minorHAnsi" w:cstheme="minorHAnsi"/>
                <w:sz w:val="24"/>
                <w:szCs w:val="24"/>
                <w:lang w:val="uk-UA"/>
              </w:rPr>
              <w:t>кафедр м</w:t>
            </w:r>
            <w:r w:rsidRPr="00A06500">
              <w:rPr>
                <w:rFonts w:asciiTheme="minorHAnsi" w:hAnsiTheme="minorHAnsi" w:cstheme="minorHAnsi"/>
                <w:sz w:val="24"/>
                <w:szCs w:val="24"/>
                <w:lang w:val="uk-UA"/>
              </w:rPr>
              <w:t>іжнародних відносин і дипломатичної служби, проходять підвищення кваліфікації (стажування у інших ВНЗ</w:t>
            </w:r>
            <w:r w:rsidR="005523E4" w:rsidRPr="00A06500">
              <w:rPr>
                <w:rFonts w:asciiTheme="minorHAnsi" w:hAnsiTheme="minorHAnsi" w:cstheme="minorHAnsi"/>
                <w:sz w:val="24"/>
                <w:szCs w:val="24"/>
                <w:lang w:val="uk-UA"/>
              </w:rPr>
              <w:t xml:space="preserve"> </w:t>
            </w:r>
            <w:r w:rsidRPr="00A06500">
              <w:rPr>
                <w:rFonts w:asciiTheme="minorHAnsi" w:hAnsiTheme="minorHAnsi" w:cstheme="minorHAnsi"/>
                <w:sz w:val="24"/>
                <w:szCs w:val="24"/>
                <w:lang w:val="uk-UA"/>
              </w:rPr>
              <w:t>) кожні п’ять років згідно плану підвищення кваліфікації. Низка викладачів кафедр мали можливість підвищити свою кваліфікацію у закордонних стажуваннях.</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При кафедр</w:t>
            </w:r>
            <w:r w:rsidR="005523E4" w:rsidRPr="00A06500">
              <w:rPr>
                <w:rFonts w:asciiTheme="minorHAnsi" w:hAnsiTheme="minorHAnsi" w:cstheme="minorHAnsi"/>
                <w:lang w:val="uk-UA"/>
              </w:rPr>
              <w:t>і м</w:t>
            </w:r>
            <w:r w:rsidRPr="00A06500">
              <w:rPr>
                <w:rFonts w:asciiTheme="minorHAnsi" w:hAnsiTheme="minorHAnsi" w:cstheme="minorHAnsi"/>
                <w:lang w:val="uk-UA"/>
              </w:rPr>
              <w:t>іжнародних віднос</w:t>
            </w:r>
            <w:r w:rsidR="005523E4" w:rsidRPr="00A06500">
              <w:rPr>
                <w:rFonts w:asciiTheme="minorHAnsi" w:hAnsiTheme="minorHAnsi" w:cstheme="minorHAnsi"/>
                <w:lang w:val="uk-UA"/>
              </w:rPr>
              <w:t>ин і дипломатичної служби</w:t>
            </w:r>
            <w:r w:rsidRPr="00A06500">
              <w:rPr>
                <w:rFonts w:asciiTheme="minorHAnsi" w:hAnsiTheme="minorHAnsi" w:cstheme="minorHAnsi"/>
                <w:lang w:val="uk-UA"/>
              </w:rPr>
              <w:t xml:space="preserve"> діє аспірант</w:t>
            </w:r>
            <w:r w:rsidR="005523E4" w:rsidRPr="00A06500">
              <w:rPr>
                <w:rFonts w:asciiTheme="minorHAnsi" w:hAnsiTheme="minorHAnsi" w:cstheme="minorHAnsi"/>
                <w:lang w:val="uk-UA"/>
              </w:rPr>
              <w:t>ура, яка слугує ресурсом її</w:t>
            </w:r>
            <w:r w:rsidRPr="00A06500">
              <w:rPr>
                <w:rFonts w:asciiTheme="minorHAnsi" w:hAnsiTheme="minorHAnsi" w:cstheme="minorHAnsi"/>
                <w:lang w:val="uk-UA"/>
              </w:rPr>
              <w:t xml:space="preserve"> кадрового поповнення. За час існування кафедр</w:t>
            </w:r>
            <w:r w:rsidR="005523E4" w:rsidRPr="00A06500">
              <w:rPr>
                <w:rFonts w:asciiTheme="minorHAnsi" w:hAnsiTheme="minorHAnsi" w:cstheme="minorHAnsi"/>
                <w:lang w:val="uk-UA"/>
              </w:rPr>
              <w:t xml:space="preserve"> </w:t>
            </w:r>
            <w:r w:rsidR="005523E4" w:rsidRPr="00A06500">
              <w:rPr>
                <w:rFonts w:asciiTheme="minorHAnsi" w:hAnsiTheme="minorHAnsi" w:cstheme="minorHAnsi"/>
                <w:highlight w:val="yellow"/>
                <w:lang w:val="uk-UA"/>
              </w:rPr>
              <w:t>__</w:t>
            </w:r>
            <w:r w:rsidR="005523E4" w:rsidRPr="00A06500">
              <w:rPr>
                <w:rFonts w:asciiTheme="minorHAnsi" w:hAnsiTheme="minorHAnsi" w:cstheme="minorHAnsi"/>
                <w:lang w:val="uk-UA"/>
              </w:rPr>
              <w:t xml:space="preserve"> </w:t>
            </w:r>
            <w:r w:rsidRPr="00A06500">
              <w:rPr>
                <w:rFonts w:asciiTheme="minorHAnsi" w:hAnsiTheme="minorHAnsi" w:cstheme="minorHAnsi"/>
                <w:lang w:val="uk-UA"/>
              </w:rPr>
              <w:t xml:space="preserve">їхніх випускників захистили дисертації на здобуття звання кандидата політичних наук, </w:t>
            </w:r>
            <w:r w:rsidR="005523E4" w:rsidRPr="00A06500">
              <w:rPr>
                <w:rFonts w:asciiTheme="minorHAnsi" w:hAnsiTheme="minorHAnsi" w:cstheme="minorHAnsi"/>
                <w:highlight w:val="yellow"/>
                <w:lang w:val="uk-UA"/>
              </w:rPr>
              <w:t>__</w:t>
            </w:r>
            <w:r w:rsidRPr="00A06500">
              <w:rPr>
                <w:rFonts w:asciiTheme="minorHAnsi" w:hAnsiTheme="minorHAnsi" w:cstheme="minorHAnsi"/>
                <w:lang w:val="uk-UA"/>
              </w:rPr>
              <w:t>з яких працюють у штаті кафедр.</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Система заохочення кадрового складу складається з таких заходів:</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w:t>
            </w:r>
            <w:r w:rsidRPr="00A06500">
              <w:rPr>
                <w:rFonts w:asciiTheme="minorHAnsi" w:hAnsiTheme="minorHAnsi" w:cstheme="minorHAnsi"/>
                <w:lang w:val="uk-UA"/>
              </w:rPr>
              <w:tab/>
              <w:t>можливості кар’єрного росту;</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lastRenderedPageBreak/>
              <w:t>•</w:t>
            </w:r>
            <w:r w:rsidRPr="00A06500">
              <w:rPr>
                <w:rFonts w:asciiTheme="minorHAnsi" w:hAnsiTheme="minorHAnsi" w:cstheme="minorHAnsi"/>
                <w:lang w:val="uk-UA"/>
              </w:rPr>
              <w:tab/>
              <w:t>отримання вчених звань;</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w:t>
            </w:r>
            <w:r w:rsidRPr="00A06500">
              <w:rPr>
                <w:rFonts w:asciiTheme="minorHAnsi" w:hAnsiTheme="minorHAnsi" w:cstheme="minorHAnsi"/>
                <w:lang w:val="uk-UA"/>
              </w:rPr>
              <w:tab/>
              <w:t>можливість публікації підручників, навчально-методичних посібників, монографій тощо;</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w:t>
            </w:r>
            <w:r w:rsidRPr="00A06500">
              <w:rPr>
                <w:rFonts w:asciiTheme="minorHAnsi" w:hAnsiTheme="minorHAnsi" w:cstheme="minorHAnsi"/>
                <w:lang w:val="uk-UA"/>
              </w:rPr>
              <w:tab/>
              <w:t>можливість підвищення кваліфікації через стажування</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w:t>
            </w:r>
            <w:r w:rsidRPr="00A06500">
              <w:rPr>
                <w:rFonts w:asciiTheme="minorHAnsi" w:hAnsiTheme="minorHAnsi" w:cstheme="minorHAnsi"/>
                <w:lang w:val="uk-UA"/>
              </w:rPr>
              <w:tab/>
              <w:t>премії;</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w:t>
            </w:r>
            <w:r w:rsidRPr="00A06500">
              <w:rPr>
                <w:rFonts w:asciiTheme="minorHAnsi" w:hAnsiTheme="minorHAnsi" w:cstheme="minorHAnsi"/>
                <w:lang w:val="uk-UA"/>
              </w:rPr>
              <w:tab/>
              <w:t>представлення до нагород, грамот, подяк за вагомі здобутки у науково-педагогічній діяльності</w:t>
            </w:r>
          </w:p>
          <w:p w:rsidR="005523E4" w:rsidRPr="00A06500" w:rsidRDefault="005523E4"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До викладання деяких курсів осві</w:t>
            </w:r>
            <w:r w:rsidR="007248B5" w:rsidRPr="00A06500">
              <w:rPr>
                <w:rFonts w:asciiTheme="minorHAnsi" w:hAnsiTheme="minorHAnsi" w:cstheme="minorHAnsi"/>
                <w:lang w:val="uk-UA"/>
              </w:rPr>
              <w:t>тньої програми</w:t>
            </w:r>
            <w:r w:rsidRPr="00A06500">
              <w:rPr>
                <w:rFonts w:asciiTheme="minorHAnsi" w:hAnsiTheme="minorHAnsi" w:cstheme="minorHAnsi"/>
                <w:lang w:val="uk-UA"/>
              </w:rPr>
              <w:t xml:space="preserve"> залучаються співробітники</w:t>
            </w:r>
            <w:r w:rsidR="007248B5" w:rsidRPr="00A06500">
              <w:rPr>
                <w:rFonts w:asciiTheme="minorHAnsi" w:hAnsiTheme="minorHAnsi" w:cstheme="minorHAnsi"/>
                <w:lang w:val="uk-UA"/>
              </w:rPr>
              <w:t xml:space="preserve"> кафедри міжнародних економічних відносин та кафедри країнознавства і міжнародного туризму</w:t>
            </w:r>
            <w:r w:rsidR="0094487B" w:rsidRPr="00A06500">
              <w:rPr>
                <w:rFonts w:asciiTheme="minorHAnsi" w:hAnsiTheme="minorHAnsi" w:cstheme="minorHAnsi"/>
                <w:lang w:val="uk-UA"/>
              </w:rPr>
              <w:t>, що посилює міждисциплінарний характер освітньої програми</w:t>
            </w:r>
            <w:r w:rsidR="007248B5" w:rsidRPr="00A06500">
              <w:rPr>
                <w:rFonts w:asciiTheme="minorHAnsi" w:hAnsiTheme="minorHAnsi" w:cstheme="minorHAnsi"/>
                <w:lang w:val="uk-UA"/>
              </w:rPr>
              <w:t xml:space="preserve">.  </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jc w:val="both"/>
              <w:rPr>
                <w:rFonts w:asciiTheme="minorHAnsi" w:hAnsiTheme="minorHAnsi" w:cstheme="minorHAnsi"/>
                <w:sz w:val="24"/>
                <w:szCs w:val="24"/>
                <w:lang w:val="uk-UA"/>
              </w:rPr>
            </w:pPr>
            <w:r w:rsidRPr="00A06500">
              <w:rPr>
                <w:rFonts w:asciiTheme="minorHAnsi" w:hAnsiTheme="minorHAnsi" w:cstheme="minorHAnsi"/>
                <w:b/>
                <w:sz w:val="24"/>
                <w:szCs w:val="24"/>
                <w:lang w:val="uk-UA"/>
              </w:rPr>
              <w:lastRenderedPageBreak/>
              <w:t>Матеріально-технічне забезпечення</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Львівський національний університет імені Івана Франка для провадження освітньої діяльності володіє відповідною матеріально-технічною базою. Площа всіх використовуваних приміщень складає </w:t>
            </w:r>
            <w:smartTag w:uri="urn:schemas-microsoft-com:office:smarttags" w:element="metricconverter">
              <w:smartTagPr>
                <w:attr w:name="ProductID" w:val="147587,9 м2"/>
              </w:smartTagPr>
              <w:r w:rsidRPr="00A06500">
                <w:rPr>
                  <w:rFonts w:asciiTheme="minorHAnsi" w:hAnsiTheme="minorHAnsi" w:cstheme="minorHAnsi"/>
                  <w:lang w:val="uk-UA"/>
                </w:rPr>
                <w:t>147587,9 м2</w:t>
              </w:r>
            </w:smartTag>
            <w:r w:rsidRPr="00A06500">
              <w:rPr>
                <w:rFonts w:asciiTheme="minorHAnsi" w:hAnsiTheme="minorHAnsi" w:cstheme="minorHAnsi"/>
                <w:lang w:val="uk-UA"/>
              </w:rPr>
              <w:t xml:space="preserve">, з яких аудиторний фонд становить – </w:t>
            </w:r>
            <w:smartTag w:uri="urn:schemas-microsoft-com:office:smarttags" w:element="metricconverter">
              <w:smartTagPr>
                <w:attr w:name="ProductID" w:val="101230,2 м2"/>
              </w:smartTagPr>
              <w:r w:rsidRPr="00A06500">
                <w:rPr>
                  <w:rFonts w:asciiTheme="minorHAnsi" w:hAnsiTheme="minorHAnsi" w:cstheme="minorHAnsi"/>
                  <w:lang w:val="uk-UA"/>
                </w:rPr>
                <w:t>101230,2 м2</w:t>
              </w:r>
            </w:smartTag>
            <w:r w:rsidRPr="00A06500">
              <w:rPr>
                <w:rFonts w:asciiTheme="minorHAnsi" w:hAnsiTheme="minorHAnsi" w:cstheme="minorHAnsi"/>
                <w:lang w:val="uk-UA"/>
              </w:rPr>
              <w:t xml:space="preserve">, приміщення для науково-педагогічного персоналу – </w:t>
            </w:r>
            <w:smartTag w:uri="urn:schemas-microsoft-com:office:smarttags" w:element="metricconverter">
              <w:smartTagPr>
                <w:attr w:name="ProductID" w:val="35601,7 м2"/>
              </w:smartTagPr>
              <w:r w:rsidRPr="00A06500">
                <w:rPr>
                  <w:rFonts w:asciiTheme="minorHAnsi" w:hAnsiTheme="minorHAnsi" w:cstheme="minorHAnsi"/>
                  <w:lang w:val="uk-UA"/>
                </w:rPr>
                <w:t>35601,7 м2</w:t>
              </w:r>
            </w:smartTag>
            <w:r w:rsidRPr="00A06500">
              <w:rPr>
                <w:rFonts w:asciiTheme="minorHAnsi" w:hAnsiTheme="minorHAnsi" w:cstheme="minorHAnsi"/>
                <w:lang w:val="uk-UA"/>
              </w:rPr>
              <w:t xml:space="preserve">, службові приміщення – </w:t>
            </w:r>
            <w:smartTag w:uri="urn:schemas-microsoft-com:office:smarttags" w:element="metricconverter">
              <w:smartTagPr>
                <w:attr w:name="ProductID" w:val="36265,3 м2"/>
              </w:smartTagPr>
              <w:r w:rsidRPr="00A06500">
                <w:rPr>
                  <w:rFonts w:asciiTheme="minorHAnsi" w:hAnsiTheme="minorHAnsi" w:cstheme="minorHAnsi"/>
                  <w:lang w:val="uk-UA"/>
                </w:rPr>
                <w:t>36265,3 м2</w:t>
              </w:r>
            </w:smartTag>
            <w:r w:rsidRPr="00A06500">
              <w:rPr>
                <w:rFonts w:asciiTheme="minorHAnsi" w:hAnsiTheme="minorHAnsi" w:cstheme="minorHAnsi"/>
                <w:lang w:val="uk-UA"/>
              </w:rPr>
              <w:t xml:space="preserve">. У своєму розпорядженні ЛНУ імені Івана Франка має бібліотеку і читальні зали (загальною площею </w:t>
            </w:r>
            <w:smartTag w:uri="urn:schemas-microsoft-com:office:smarttags" w:element="metricconverter">
              <w:smartTagPr>
                <w:attr w:name="ProductID" w:val="3109,7 м2"/>
              </w:smartTagPr>
              <w:r w:rsidRPr="00A06500">
                <w:rPr>
                  <w:rFonts w:asciiTheme="minorHAnsi" w:hAnsiTheme="minorHAnsi" w:cstheme="minorHAnsi"/>
                  <w:lang w:val="uk-UA"/>
                </w:rPr>
                <w:t>3109,7 м2</w:t>
              </w:r>
            </w:smartTag>
            <w:r w:rsidRPr="00A06500">
              <w:rPr>
                <w:rFonts w:asciiTheme="minorHAnsi" w:hAnsiTheme="minorHAnsi" w:cstheme="minorHAnsi"/>
                <w:lang w:val="uk-UA"/>
              </w:rPr>
              <w:t xml:space="preserve">  на 696 місць), гуртожитки (</w:t>
            </w:r>
            <w:smartTag w:uri="urn:schemas-microsoft-com:office:smarttags" w:element="metricconverter">
              <w:smartTagPr>
                <w:attr w:name="ProductID" w:val="46357,7 м2"/>
              </w:smartTagPr>
              <w:r w:rsidRPr="00A06500">
                <w:rPr>
                  <w:rFonts w:asciiTheme="minorHAnsi" w:hAnsiTheme="minorHAnsi" w:cstheme="minorHAnsi"/>
                  <w:lang w:val="uk-UA"/>
                </w:rPr>
                <w:t>46357,7 м2</w:t>
              </w:r>
            </w:smartTag>
            <w:r w:rsidRPr="00A06500">
              <w:rPr>
                <w:rFonts w:asciiTheme="minorHAnsi" w:hAnsiTheme="minorHAnsi" w:cstheme="minorHAnsi"/>
                <w:lang w:val="uk-UA"/>
              </w:rPr>
              <w:t>), профілакторії (</w:t>
            </w:r>
            <w:smartTag w:uri="urn:schemas-microsoft-com:office:smarttags" w:element="metricconverter">
              <w:smartTagPr>
                <w:attr w:name="ProductID" w:val="843,7 м2"/>
              </w:smartTagPr>
              <w:r w:rsidRPr="00A06500">
                <w:rPr>
                  <w:rFonts w:asciiTheme="minorHAnsi" w:hAnsiTheme="minorHAnsi" w:cstheme="minorHAnsi"/>
                  <w:lang w:val="uk-UA"/>
                </w:rPr>
                <w:t>843,7 м2</w:t>
              </w:r>
            </w:smartTag>
            <w:r w:rsidRPr="00A06500">
              <w:rPr>
                <w:rFonts w:asciiTheme="minorHAnsi" w:hAnsiTheme="minorHAnsi" w:cstheme="minorHAnsi"/>
                <w:lang w:val="uk-UA"/>
              </w:rPr>
              <w:t xml:space="preserve">). Кожен навчальний корпус має їдальні та буфети (загальною площею – </w:t>
            </w:r>
            <w:smartTag w:uri="urn:schemas-microsoft-com:office:smarttags" w:element="metricconverter">
              <w:smartTagPr>
                <w:attr w:name="ProductID" w:val="3884,6 м2"/>
              </w:smartTagPr>
              <w:r w:rsidRPr="00A06500">
                <w:rPr>
                  <w:rFonts w:asciiTheme="minorHAnsi" w:hAnsiTheme="minorHAnsi" w:cstheme="minorHAnsi"/>
                  <w:lang w:val="uk-UA"/>
                </w:rPr>
                <w:t>3884,6 м2</w:t>
              </w:r>
            </w:smartTag>
            <w:r w:rsidRPr="00A06500">
              <w:rPr>
                <w:rFonts w:asciiTheme="minorHAnsi" w:hAnsiTheme="minorHAnsi" w:cstheme="minorHAnsi"/>
                <w:lang w:val="uk-UA"/>
              </w:rPr>
              <w:t xml:space="preserve">). Спортивний комплекс складають: 1 стадіон з трибунами на 1500 місць; 10 майданчиків; 2 майданчики з тренажерами і обладнаннями; 1 футбольне поле; 9 спортивних залів з тренажерами і обладнаннями, у тім числі: 1 спортивний зал площею понад </w:t>
            </w:r>
            <w:smartTag w:uri="urn:schemas-microsoft-com:office:smarttags" w:element="metricconverter">
              <w:smartTagPr>
                <w:attr w:name="ProductID" w:val="1000 м2"/>
              </w:smartTagPr>
              <w:r w:rsidRPr="00A06500">
                <w:rPr>
                  <w:rFonts w:asciiTheme="minorHAnsi" w:hAnsiTheme="minorHAnsi" w:cstheme="minorHAnsi"/>
                  <w:lang w:val="uk-UA"/>
                </w:rPr>
                <w:t>1000 м2</w:t>
              </w:r>
            </w:smartTag>
            <w:r w:rsidRPr="00A06500">
              <w:rPr>
                <w:rFonts w:asciiTheme="minorHAnsi" w:hAnsiTheme="minorHAnsi" w:cstheme="minorHAnsi"/>
                <w:lang w:val="uk-UA"/>
              </w:rPr>
              <w:t xml:space="preserve">, 2 зали площею від 500 до </w:t>
            </w:r>
            <w:smartTag w:uri="urn:schemas-microsoft-com:office:smarttags" w:element="metricconverter">
              <w:smartTagPr>
                <w:attr w:name="ProductID" w:val="1000 м2"/>
              </w:smartTagPr>
              <w:r w:rsidRPr="00A06500">
                <w:rPr>
                  <w:rFonts w:asciiTheme="minorHAnsi" w:hAnsiTheme="minorHAnsi" w:cstheme="minorHAnsi"/>
                  <w:lang w:val="uk-UA"/>
                </w:rPr>
                <w:t>1000 м2</w:t>
              </w:r>
            </w:smartTag>
            <w:r w:rsidRPr="00A06500">
              <w:rPr>
                <w:rFonts w:asciiTheme="minorHAnsi" w:hAnsiTheme="minorHAnsi" w:cstheme="minorHAnsi"/>
                <w:lang w:val="uk-UA"/>
              </w:rPr>
              <w:t xml:space="preserve">   та площею від 162 до </w:t>
            </w:r>
            <w:smartTag w:uri="urn:schemas-microsoft-com:office:smarttags" w:element="metricconverter">
              <w:smartTagPr>
                <w:attr w:name="ProductID" w:val="500 м2"/>
              </w:smartTagPr>
              <w:r w:rsidRPr="00A06500">
                <w:rPr>
                  <w:rFonts w:asciiTheme="minorHAnsi" w:hAnsiTheme="minorHAnsi" w:cstheme="minorHAnsi"/>
                  <w:lang w:val="uk-UA"/>
                </w:rPr>
                <w:t>500 м2</w:t>
              </w:r>
            </w:smartTag>
            <w:r w:rsidRPr="00A06500">
              <w:rPr>
                <w:rFonts w:asciiTheme="minorHAnsi" w:hAnsiTheme="minorHAnsi" w:cstheme="minorHAnsi"/>
                <w:lang w:val="uk-UA"/>
              </w:rPr>
              <w:t xml:space="preserve">, 25 метровий плавальний басейн. Загальна корисна площа приміщень комплексу становить </w:t>
            </w:r>
            <w:smartTag w:uri="urn:schemas-microsoft-com:office:smarttags" w:element="metricconverter">
              <w:smartTagPr>
                <w:attr w:name="ProductID" w:val="7571 м2"/>
              </w:smartTagPr>
              <w:r w:rsidRPr="00A06500">
                <w:rPr>
                  <w:rFonts w:asciiTheme="minorHAnsi" w:hAnsiTheme="minorHAnsi" w:cstheme="minorHAnsi"/>
                  <w:lang w:val="uk-UA"/>
                </w:rPr>
                <w:t>7571 м2</w:t>
              </w:r>
            </w:smartTag>
            <w:r w:rsidRPr="00A06500">
              <w:rPr>
                <w:rFonts w:asciiTheme="minorHAnsi" w:hAnsiTheme="minorHAnsi" w:cstheme="minorHAnsi"/>
                <w:lang w:val="uk-UA"/>
              </w:rPr>
              <w:t xml:space="preserve">, з них </w:t>
            </w:r>
            <w:smartTag w:uri="urn:schemas-microsoft-com:office:smarttags" w:element="metricconverter">
              <w:smartTagPr>
                <w:attr w:name="ProductID" w:val="3920 м2"/>
              </w:smartTagPr>
              <w:r w:rsidRPr="00A06500">
                <w:rPr>
                  <w:rFonts w:asciiTheme="minorHAnsi" w:hAnsiTheme="minorHAnsi" w:cstheme="minorHAnsi"/>
                  <w:lang w:val="uk-UA"/>
                </w:rPr>
                <w:t>3920 м2</w:t>
              </w:r>
            </w:smartTag>
            <w:r w:rsidRPr="00A06500">
              <w:rPr>
                <w:rFonts w:asciiTheme="minorHAnsi" w:hAnsiTheme="minorHAnsi" w:cstheme="minorHAnsi"/>
                <w:lang w:val="uk-UA"/>
              </w:rPr>
              <w:t xml:space="preserve"> — площа спортивних залів. Одночасна пропускна спроможність комплексу — 574 особи. </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У розпорядженні Університету є студентський клуб з глядацьким залом та танцювальним залом, де студенти мають змогу займатися художньою самодіяльністю та мистецтвом. Основні показники матеріально-технічної бази Університету наведено у таблиці 5. Всі площі є власністю університету.</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У науковій бібліотеці загальним фондом понад 3 млн. примірників 140 мовами та діалектами народів світу, функціонує 15 читальних залів (з них 3 в гуртожитках) на 650 посадкових місць, зали рідкісних книг, каталогів та довідково-бібліографічний.</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lastRenderedPageBreak/>
              <w:t xml:space="preserve">Усі будівлі під’єднані до інженерних мереж (газ, вода, каналізація, тепломережі, електропостачання). Матеріальні цінності зберігаються на складах та у приміщеннях, обладнаних охоронною сигналізацією. В усіх корпусах цілодобово діє охорона. </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Наявні приміщення (навчальні, навчально-виробничі; побутові та інші) відповідають санітарним нормам і правилам, державним будівельним нормам України ДБН В2.2-3-97 «Будинки та споруди навчальних закладів», що затверджені наказом Держкоммістобудування України від 27.06.1996 № 117, про що є санітарно-гігієнічний висновок, підписаний державним санітарним лікарем м. Львова.</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Факультет міжнародних відносин Львівського національного університету імені Івана Франка знаходиться в окремому корпусі і для провадження освітньої діяльності володіє відповідною матеріально-технічною базою.  Студенти та  працівники факультету міжнародних відносин мають змогу користуватися усією інфраструктурою Університету.</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Підготовка </w:t>
            </w:r>
            <w:r w:rsidR="007248B5" w:rsidRPr="00A06500">
              <w:rPr>
                <w:rFonts w:asciiTheme="minorHAnsi" w:hAnsiTheme="minorHAnsi" w:cstheme="minorHAnsi"/>
                <w:lang w:val="uk-UA"/>
              </w:rPr>
              <w:t>магістрантів</w:t>
            </w:r>
            <w:r w:rsidRPr="00A06500">
              <w:rPr>
                <w:rFonts w:asciiTheme="minorHAnsi" w:hAnsiTheme="minorHAnsi" w:cstheme="minorHAnsi"/>
                <w:lang w:val="uk-UA"/>
              </w:rPr>
              <w:t xml:space="preserve"> </w:t>
            </w:r>
            <w:r w:rsidR="007248B5" w:rsidRPr="00A06500">
              <w:rPr>
                <w:rFonts w:asciiTheme="minorHAnsi" w:hAnsiTheme="minorHAnsi" w:cstheme="minorHAnsi"/>
                <w:lang w:val="uk-UA"/>
              </w:rPr>
              <w:t xml:space="preserve">освітньо-професійної програми «Європейське місцеве та регіональне врядування» </w:t>
            </w:r>
            <w:r w:rsidRPr="00A06500">
              <w:rPr>
                <w:rFonts w:asciiTheme="minorHAnsi" w:hAnsiTheme="minorHAnsi" w:cstheme="minorHAnsi"/>
                <w:lang w:val="uk-UA"/>
              </w:rPr>
              <w:t xml:space="preserve">здійснюється  в приміщеннях факультету міжнародних відносин та інших факультетів Університету. </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Львівський національний університет імені Івана Франка володіє відповідним аудиторним фондом, що знаходиться на площі </w:t>
            </w:r>
            <w:smartTag w:uri="urn:schemas-microsoft-com:office:smarttags" w:element="metricconverter">
              <w:smartTagPr>
                <w:attr w:name="ProductID" w:val="101230,2 м2"/>
              </w:smartTagPr>
              <w:r w:rsidRPr="00A06500">
                <w:rPr>
                  <w:rFonts w:asciiTheme="minorHAnsi" w:hAnsiTheme="minorHAnsi" w:cstheme="minorHAnsi"/>
                  <w:lang w:val="uk-UA"/>
                </w:rPr>
                <w:t>101230,2 м2</w:t>
              </w:r>
            </w:smartTag>
            <w:r w:rsidRPr="00A06500">
              <w:rPr>
                <w:rFonts w:asciiTheme="minorHAnsi" w:hAnsiTheme="minorHAnsi" w:cstheme="minorHAnsi"/>
                <w:lang w:val="uk-UA"/>
              </w:rPr>
              <w:t xml:space="preserve">. Для проведення занять для студентів </w:t>
            </w:r>
            <w:r w:rsidR="007248B5" w:rsidRPr="00A06500">
              <w:rPr>
                <w:rFonts w:asciiTheme="minorHAnsi" w:hAnsiTheme="minorHAnsi" w:cstheme="minorHAnsi"/>
                <w:lang w:val="uk-UA"/>
              </w:rPr>
              <w:t xml:space="preserve">освітньо-професійної програми «Європейське місцеве та регіональне врядування» </w:t>
            </w:r>
            <w:r w:rsidRPr="00A06500">
              <w:rPr>
                <w:rFonts w:asciiTheme="minorHAnsi" w:hAnsiTheme="minorHAnsi" w:cstheme="minorHAnsi"/>
                <w:lang w:val="uk-UA"/>
              </w:rPr>
              <w:t xml:space="preserve">використовуються також </w:t>
            </w:r>
            <w:proofErr w:type="spellStart"/>
            <w:r w:rsidRPr="00A06500">
              <w:rPr>
                <w:rFonts w:asciiTheme="minorHAnsi" w:hAnsiTheme="minorHAnsi" w:cstheme="minorHAnsi"/>
                <w:lang w:val="uk-UA"/>
              </w:rPr>
              <w:t>загальноуніверситетські</w:t>
            </w:r>
            <w:proofErr w:type="spellEnd"/>
            <w:r w:rsidRPr="00A06500">
              <w:rPr>
                <w:rFonts w:asciiTheme="minorHAnsi" w:hAnsiTheme="minorHAnsi" w:cstheme="minorHAnsi"/>
                <w:lang w:val="uk-UA"/>
              </w:rPr>
              <w:t xml:space="preserve"> аудиторії та комп'ютерні класи, а також аудиторії інших факультетів. </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Основні лекційні та семінарські заняття студентів </w:t>
            </w:r>
            <w:r w:rsidR="007248B5" w:rsidRPr="00A06500">
              <w:rPr>
                <w:rFonts w:asciiTheme="minorHAnsi" w:hAnsiTheme="minorHAnsi" w:cstheme="minorHAnsi"/>
                <w:lang w:val="uk-UA"/>
              </w:rPr>
              <w:t xml:space="preserve">освітньо-професійної програми «Європейське місцеве та регіональне врядування» </w:t>
            </w:r>
            <w:r w:rsidRPr="00A06500">
              <w:rPr>
                <w:rFonts w:asciiTheme="minorHAnsi" w:hAnsiTheme="minorHAnsi" w:cstheme="minorHAnsi"/>
                <w:lang w:val="uk-UA"/>
              </w:rPr>
              <w:t xml:space="preserve">проводяться в приміщенні факультету міжнародних відносин. Аудиторний фонд факультету охоплює 31 аудиторію та приміщення для проведення семінарських, практичних занять, загальною площею </w:t>
            </w:r>
            <w:smartTag w:uri="urn:schemas-microsoft-com:office:smarttags" w:element="metricconverter">
              <w:smartTagPr>
                <w:attr w:name="ProductID" w:val="551,3 м2"/>
              </w:smartTagPr>
              <w:r w:rsidRPr="00A06500">
                <w:rPr>
                  <w:rFonts w:asciiTheme="minorHAnsi" w:hAnsiTheme="minorHAnsi" w:cstheme="minorHAnsi"/>
                  <w:lang w:val="uk-UA"/>
                </w:rPr>
                <w:t>551,3 м2</w:t>
              </w:r>
            </w:smartTag>
            <w:r w:rsidRPr="00A06500">
              <w:rPr>
                <w:rFonts w:asciiTheme="minorHAnsi" w:hAnsiTheme="minorHAnsi" w:cstheme="minorHAnsi"/>
                <w:lang w:val="uk-UA"/>
              </w:rPr>
              <w:t>.  Всі площі є власністю університету.</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Науково-педагогічний персонал та студенти Львівського національного університету імені Івана Франка мають у своєму розпорядженні наукову бібліотеку, що займає дві окремі будівлі. На кожному факультеті розташована філія наукової бібліотеки відповідно до фахового спрямування (книгосховище та читальні зали). Кількість книг становить 3105406 примірників,  в тому числі навчальної літератури </w:t>
            </w:r>
            <w:r w:rsidRPr="00A06500">
              <w:rPr>
                <w:rFonts w:asciiTheme="minorHAnsi" w:hAnsiTheme="minorHAnsi" w:cstheme="minorHAnsi"/>
                <w:lang w:val="uk-UA"/>
              </w:rPr>
              <w:lastRenderedPageBreak/>
              <w:t>578652 одиниць, наукової 1846777, періодичних видань – 13607 назв. Бібліотека університету обслуговує 27376 читачів, в тому числі 17640 студентів. У бібліотеці факультету міжнародних відносин знаходиться 14444 книги.</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Факультет міжнародних відносин  розташований в окремому будинку, з приміщенням деканату (4 кімнати, площею </w:t>
            </w:r>
            <w:smartTag w:uri="urn:schemas-microsoft-com:office:smarttags" w:element="metricconverter">
              <w:smartTagPr>
                <w:attr w:name="ProductID" w:val="145,5 м2"/>
              </w:smartTagPr>
              <w:r w:rsidRPr="00A06500">
                <w:rPr>
                  <w:rFonts w:asciiTheme="minorHAnsi" w:hAnsiTheme="minorHAnsi" w:cstheme="minorHAnsi"/>
                  <w:lang w:val="uk-UA"/>
                </w:rPr>
                <w:t>145,5 м2</w:t>
              </w:r>
            </w:smartTag>
            <w:r w:rsidRPr="00A06500">
              <w:rPr>
                <w:rFonts w:asciiTheme="minorHAnsi" w:hAnsiTheme="minorHAnsi" w:cstheme="minorHAnsi"/>
                <w:lang w:val="uk-UA"/>
              </w:rPr>
              <w:t xml:space="preserve">), приміщеннями функціональних підрозділів, кафедр (по 2-3 кімнати на кожну, площею </w:t>
            </w:r>
            <w:smartTag w:uri="urn:schemas-microsoft-com:office:smarttags" w:element="metricconverter">
              <w:smartTagPr>
                <w:attr w:name="ProductID" w:val="489,16 м2"/>
              </w:smartTagPr>
              <w:r w:rsidRPr="00A06500">
                <w:rPr>
                  <w:rFonts w:asciiTheme="minorHAnsi" w:hAnsiTheme="minorHAnsi" w:cstheme="minorHAnsi"/>
                  <w:lang w:val="uk-UA"/>
                </w:rPr>
                <w:t>489,16 м2</w:t>
              </w:r>
            </w:smartTag>
            <w:r w:rsidRPr="00A06500">
              <w:rPr>
                <w:rFonts w:asciiTheme="minorHAnsi" w:hAnsiTheme="minorHAnsi" w:cstheme="minorHAnsi"/>
                <w:lang w:val="uk-UA"/>
              </w:rPr>
              <w:t>) та відділів. Всі площі є власністю університету</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Перелік лабораторій і спеціалізованих кабінетів, що забезпечують навчальний процес </w:t>
            </w:r>
            <w:r w:rsidR="007248B5" w:rsidRPr="00A06500">
              <w:rPr>
                <w:rFonts w:asciiTheme="minorHAnsi" w:hAnsiTheme="minorHAnsi" w:cstheme="minorHAnsi"/>
                <w:lang w:val="uk-UA"/>
              </w:rPr>
              <w:t xml:space="preserve">освітньо-професійної програми «Європейське місцеве та регіональне врядування» </w:t>
            </w:r>
            <w:r w:rsidRPr="00A06500">
              <w:rPr>
                <w:rFonts w:asciiTheme="minorHAnsi" w:hAnsiTheme="minorHAnsi" w:cstheme="minorHAnsi"/>
                <w:lang w:val="uk-UA"/>
              </w:rPr>
              <w:t>відображений у таблицях 6.1 – 6.3.</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Навчання за </w:t>
            </w:r>
            <w:r w:rsidR="007248B5" w:rsidRPr="00A06500">
              <w:rPr>
                <w:rFonts w:asciiTheme="minorHAnsi" w:hAnsiTheme="minorHAnsi" w:cstheme="minorHAnsi"/>
                <w:lang w:val="uk-UA"/>
              </w:rPr>
              <w:t xml:space="preserve">освітньо-професійною програмою «Європейське місцеве та регіональне врядування» </w:t>
            </w:r>
            <w:r w:rsidRPr="00A06500">
              <w:rPr>
                <w:rFonts w:asciiTheme="minorHAnsi" w:hAnsiTheme="minorHAnsi" w:cstheme="minorHAnsi"/>
                <w:lang w:val="uk-UA"/>
              </w:rPr>
              <w:t xml:space="preserve">відбуватиметься у комп'ютерних класах Львівського національного університету імені Івана Франка, що мають сучасне програмне забезпечення, наявні пакети прикладних програм, які використовуються в циклах природничо-наукових та </w:t>
            </w:r>
            <w:proofErr w:type="spellStart"/>
            <w:r w:rsidRPr="00A06500">
              <w:rPr>
                <w:rFonts w:asciiTheme="minorHAnsi" w:hAnsiTheme="minorHAnsi" w:cstheme="minorHAnsi"/>
                <w:lang w:val="uk-UA"/>
              </w:rPr>
              <w:t>професійно</w:t>
            </w:r>
            <w:proofErr w:type="spellEnd"/>
            <w:r w:rsidRPr="00A06500">
              <w:rPr>
                <w:rFonts w:asciiTheme="minorHAnsi" w:hAnsiTheme="minorHAnsi" w:cstheme="minorHAnsi"/>
                <w:lang w:val="uk-UA"/>
              </w:rPr>
              <w:t xml:space="preserve">-орієнтованих дисциплін. </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Факультет міжнародних відносин забезпечений комп’ютерами, які під’єднані до інформаційної системи Університету та глобальної мережі Інтернет. На кожній кафедрі факультету та в деканаті використовуються комп’ютери, принтери, сканери та розмножувальна техніка. Для підготовки методичного забезпечення на факультеті діє малий видавничий центр. Для забезпечення процесу наочності представлення інформації та підвищення якості навчального процесу використовуються проектори. </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Для підготовки студентів </w:t>
            </w:r>
            <w:r w:rsidR="007248B5" w:rsidRPr="00A06500">
              <w:rPr>
                <w:rFonts w:asciiTheme="minorHAnsi" w:hAnsiTheme="minorHAnsi" w:cstheme="minorHAnsi"/>
                <w:lang w:val="uk-UA"/>
              </w:rPr>
              <w:t xml:space="preserve">освітньо-професійної програми «Європейське місцеве та регіональне врядування» </w:t>
            </w:r>
            <w:r w:rsidRPr="00A06500">
              <w:rPr>
                <w:rFonts w:asciiTheme="minorHAnsi" w:hAnsiTheme="minorHAnsi" w:cstheme="minorHAnsi"/>
                <w:lang w:val="uk-UA"/>
              </w:rPr>
              <w:t xml:space="preserve">використовуються 2 аудиторії, загальною площею </w:t>
            </w:r>
            <w:smartTag w:uri="urn:schemas-microsoft-com:office:smarttags" w:element="metricconverter">
              <w:smartTagPr>
                <w:attr w:name="ProductID" w:val="275 м2"/>
              </w:smartTagPr>
              <w:r w:rsidRPr="00A06500">
                <w:rPr>
                  <w:rFonts w:asciiTheme="minorHAnsi" w:hAnsiTheme="minorHAnsi" w:cstheme="minorHAnsi"/>
                  <w:lang w:val="uk-UA"/>
                </w:rPr>
                <w:t>275 м2</w:t>
              </w:r>
            </w:smartTag>
            <w:r w:rsidRPr="00A06500">
              <w:rPr>
                <w:rFonts w:asciiTheme="minorHAnsi" w:hAnsiTheme="minorHAnsi" w:cstheme="minorHAnsi"/>
                <w:lang w:val="uk-UA"/>
              </w:rPr>
              <w:t xml:space="preserve">. Загальна кількість комп’ютерів  - 45.  В аудиторії 118 на одне робоче місце припадає </w:t>
            </w:r>
            <w:smartTag w:uri="urn:schemas-microsoft-com:office:smarttags" w:element="metricconverter">
              <w:smartTagPr>
                <w:attr w:name="ProductID" w:val="6,05 м2"/>
              </w:smartTagPr>
              <w:r w:rsidRPr="00A06500">
                <w:rPr>
                  <w:rFonts w:asciiTheme="minorHAnsi" w:hAnsiTheme="minorHAnsi" w:cstheme="minorHAnsi"/>
                  <w:lang w:val="uk-UA"/>
                </w:rPr>
                <w:t>6,05 м2</w:t>
              </w:r>
            </w:smartTag>
            <w:r w:rsidRPr="00A06500">
              <w:rPr>
                <w:rFonts w:asciiTheme="minorHAnsi" w:hAnsiTheme="minorHAnsi" w:cstheme="minorHAnsi"/>
                <w:lang w:val="uk-UA"/>
              </w:rPr>
              <w:t xml:space="preserve">, в аудиторії 116 – </w:t>
            </w:r>
            <w:smartTag w:uri="urn:schemas-microsoft-com:office:smarttags" w:element="metricconverter">
              <w:smartTagPr>
                <w:attr w:name="ProductID" w:val="6,16 м2"/>
              </w:smartTagPr>
              <w:r w:rsidRPr="00A06500">
                <w:rPr>
                  <w:rFonts w:asciiTheme="minorHAnsi" w:hAnsiTheme="minorHAnsi" w:cstheme="minorHAnsi"/>
                  <w:lang w:val="uk-UA"/>
                </w:rPr>
                <w:t>6,16 м2</w:t>
              </w:r>
            </w:smartTag>
            <w:r w:rsidRPr="00A06500">
              <w:rPr>
                <w:rFonts w:asciiTheme="minorHAnsi" w:hAnsiTheme="minorHAnsi" w:cstheme="minorHAnsi"/>
                <w:lang w:val="uk-UA"/>
              </w:rPr>
              <w:t>, що відповідає нормативам, наведеним у статті 3.43 ДБН В.2.2-3-97 «Будинки та споруди навчальних закладів». Всі площі є власністю університету</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Заняття з деяких дисциплін проводяться в аудиторіях </w:t>
            </w:r>
            <w:proofErr w:type="spellStart"/>
            <w:r w:rsidRPr="00A06500">
              <w:rPr>
                <w:rFonts w:asciiTheme="minorHAnsi" w:hAnsiTheme="minorHAnsi" w:cstheme="minorHAnsi"/>
                <w:lang w:val="uk-UA"/>
              </w:rPr>
              <w:t>загальноуніверситетських</w:t>
            </w:r>
            <w:proofErr w:type="spellEnd"/>
            <w:r w:rsidRPr="00A06500">
              <w:rPr>
                <w:rFonts w:asciiTheme="minorHAnsi" w:hAnsiTheme="minorHAnsi" w:cstheme="minorHAnsi"/>
                <w:lang w:val="uk-UA"/>
              </w:rPr>
              <w:t xml:space="preserve"> кафедр. Аудиторії обладнані оргтехнікою, є можливість проведення лекційних демонстрацій. Загальна площа приміщень кафедр складає </w:t>
            </w:r>
            <w:smartTag w:uri="urn:schemas-microsoft-com:office:smarttags" w:element="metricconverter">
              <w:smartTagPr>
                <w:attr w:name="ProductID" w:val="130 м2"/>
              </w:smartTagPr>
              <w:r w:rsidRPr="00A06500">
                <w:rPr>
                  <w:rFonts w:asciiTheme="minorHAnsi" w:hAnsiTheme="minorHAnsi" w:cstheme="minorHAnsi"/>
                  <w:lang w:val="uk-UA"/>
                </w:rPr>
                <w:lastRenderedPageBreak/>
                <w:t>130 м2</w:t>
              </w:r>
            </w:smartTag>
            <w:r w:rsidRPr="00A06500">
              <w:rPr>
                <w:rFonts w:asciiTheme="minorHAnsi" w:hAnsiTheme="minorHAnsi" w:cstheme="minorHAnsi"/>
                <w:lang w:val="uk-UA"/>
              </w:rPr>
              <w:t xml:space="preserve">, з них </w:t>
            </w:r>
            <w:smartTag w:uri="urn:schemas-microsoft-com:office:smarttags" w:element="metricconverter">
              <w:smartTagPr>
                <w:attr w:name="ProductID" w:val="95,24 м2"/>
              </w:smartTagPr>
              <w:r w:rsidRPr="00A06500">
                <w:rPr>
                  <w:rFonts w:asciiTheme="minorHAnsi" w:hAnsiTheme="minorHAnsi" w:cstheme="minorHAnsi"/>
                  <w:lang w:val="uk-UA"/>
                </w:rPr>
                <w:t>95,24 м2</w:t>
              </w:r>
            </w:smartTag>
            <w:r w:rsidRPr="00A06500">
              <w:rPr>
                <w:rFonts w:asciiTheme="minorHAnsi" w:hAnsiTheme="minorHAnsi" w:cstheme="minorHAnsi"/>
                <w:lang w:val="uk-UA"/>
              </w:rPr>
              <w:t xml:space="preserve"> використовується безпосередньо для навчального процесу.</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Науково-педагогічний персонал кафедр забезпечений робочими місцями у трьох кімнатах  навчального корпусу загальною площею </w:t>
            </w:r>
            <w:r w:rsidR="007248B5" w:rsidRPr="00A06500">
              <w:rPr>
                <w:rFonts w:asciiTheme="minorHAnsi" w:hAnsiTheme="minorHAnsi" w:cstheme="minorHAnsi"/>
                <w:color w:val="FF0000"/>
                <w:highlight w:val="yellow"/>
                <w:lang w:val="uk-UA"/>
              </w:rPr>
              <w:t>____</w:t>
            </w:r>
            <w:r w:rsidRPr="00A06500">
              <w:rPr>
                <w:rFonts w:asciiTheme="minorHAnsi" w:hAnsiTheme="minorHAnsi" w:cstheme="minorHAnsi"/>
                <w:highlight w:val="yellow"/>
                <w:lang w:val="uk-UA"/>
              </w:rPr>
              <w:t xml:space="preserve"> м2</w:t>
            </w:r>
            <w:r w:rsidRPr="00A06500">
              <w:rPr>
                <w:rFonts w:asciiTheme="minorHAnsi" w:hAnsiTheme="minorHAnsi" w:cstheme="minorHAnsi"/>
                <w:lang w:val="uk-UA"/>
              </w:rPr>
              <w:t xml:space="preserve">. В розпорядженні кафедри – копіювальні апарати, сканери, мультимедійні проектори, які використовують у навчальній, методичній, науковій діяльності студентів та викладачів кафедри. </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Фінансування кафедр як структурного підрозділу Львівського національного університету імені Івана Франка здійснюється за рахунок коштів державного бюджету (оплата праці штатних працівників, відрахування до фонду соціального страхування, оплата комунальних платежів тощо) та за рахунок коштів спеціального фонду університету (платні послуги університету – оплата праці штатних працівників, відрахування до фонду соціального страхування, капітальний та поточний ремонти, видатки на відрядження та оплату за студентську практику, закупівлю обладнання тощо).</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В аудиторії 116Б розміщено комп’ютерний клас, обладнаний 28 комп’ютерами, принтером та необхідними меблями. В  класі наявна комп’ютерна мережа з підключенням до Інтернету. </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Заняття у навчальних аудиторіях проводяться з використанням мультимедійних проекційних та інших засобів.</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Усі навчальні та адміністративні приміщення відповідають вимогам техніки безпеки та забезпечують умови життєдіяльності щодо освітлення, теплового та повітряного режиму, проведення технологічних процесів у спеціалізованих лабораторіях тощо. Режими роботи навчального устаткування та обладнання відповідають нормативам.</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Для ефективної організації навчального процесу в університеті діє методичний відділ і магазин видавництва, а на факультеті міжнародних відносин -  методичний кабінет, які в повному обсязі надають методичну літературу, сприяють ефективній організації навчального процесу підготовки фахівців.</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Високий рівень оснащення об’єктів матеріально-технічної бази Львівського національного університету імені Івана Франка та кафедр відповідає умовам акредитації і дає змогу забезпечити якісну підготовку фахівців за </w:t>
            </w:r>
            <w:r w:rsidR="007248B5" w:rsidRPr="00A06500">
              <w:rPr>
                <w:rFonts w:asciiTheme="minorHAnsi" w:hAnsiTheme="minorHAnsi" w:cstheme="minorHAnsi"/>
                <w:lang w:val="uk-UA"/>
              </w:rPr>
              <w:t>освітньо-професійної програми «Європейське місцеве та регіональне врядування»</w:t>
            </w:r>
            <w:r w:rsidRPr="00A06500">
              <w:rPr>
                <w:rFonts w:asciiTheme="minorHAnsi" w:hAnsiTheme="minorHAnsi" w:cstheme="minorHAnsi"/>
                <w:lang w:val="uk-UA"/>
              </w:rPr>
              <w:t>.</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lastRenderedPageBreak/>
              <w:t>Книжковий фонд бібліотеки формується за новими навчальними планами і складається з новітньої літератури з міжнародної економіки</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jc w:val="both"/>
              <w:rPr>
                <w:rFonts w:asciiTheme="minorHAnsi" w:hAnsiTheme="minorHAnsi" w:cstheme="minorHAnsi"/>
                <w:sz w:val="24"/>
                <w:szCs w:val="24"/>
                <w:lang w:val="uk-UA"/>
              </w:rPr>
            </w:pPr>
            <w:r w:rsidRPr="00A06500">
              <w:rPr>
                <w:rFonts w:asciiTheme="minorHAnsi" w:hAnsiTheme="minorHAnsi" w:cstheme="minorHAnsi"/>
                <w:b/>
                <w:sz w:val="24"/>
                <w:szCs w:val="24"/>
                <w:lang w:val="uk-UA"/>
              </w:rPr>
              <w:lastRenderedPageBreak/>
              <w:t>Інформаційне та навчально-методичне забезпечення</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Офіційний веб-сайт університету http://lnu.edu.ua/ містить інформацію про освітні програми, навчальну, наукову і виховну діяльність, структурні підрозділи, правила прийому, контакти. </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Всі зареєстровані в ЛНУ користувачі мають необмежений доступ до мережі Інтернет. </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Матеріали навчально-методичного забезпечення </w:t>
            </w:r>
            <w:proofErr w:type="spellStart"/>
            <w:r w:rsidRPr="00A06500">
              <w:rPr>
                <w:rFonts w:asciiTheme="minorHAnsi" w:hAnsiTheme="minorHAnsi" w:cstheme="minorHAnsi"/>
                <w:lang w:val="uk-UA"/>
              </w:rPr>
              <w:t>освітньо</w:t>
            </w:r>
            <w:proofErr w:type="spellEnd"/>
            <w:r w:rsidRPr="00A06500">
              <w:rPr>
                <w:rFonts w:asciiTheme="minorHAnsi" w:hAnsiTheme="minorHAnsi" w:cstheme="minorHAnsi"/>
                <w:lang w:val="uk-UA"/>
              </w:rPr>
              <w:t>-наукової програми викладені на сайті факультету міжнародних відносин: http://intrel.lnu.edu.ua/</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Книжковий фонд бібліотеки формується за новими навчальними планами і складається з новітньої літератури з міжнародної економіки.</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Кабінет забезпечує надходження видань, що стосуються зокрема міжнародної економіки </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Будь-яка інформація, періодичні видання, що надходять до кабінету розписуються, опрацьовуються, проходять комп'ютерну обробку і вносяться до електронної бази даних навчально-методичного кабінету. Створено всі умови для збереження, систематичного поповнення та ефективного використання фонду літератури.</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Студенти, які навчаються за </w:t>
            </w:r>
            <w:r w:rsidR="007248B5" w:rsidRPr="00A06500">
              <w:rPr>
                <w:rFonts w:asciiTheme="minorHAnsi" w:hAnsiTheme="minorHAnsi" w:cstheme="minorHAnsi"/>
                <w:lang w:val="uk-UA"/>
              </w:rPr>
              <w:t xml:space="preserve">освітньо-професійної програми «Європейське місцеве та регіональне врядування» </w:t>
            </w:r>
            <w:r w:rsidRPr="00A06500">
              <w:rPr>
                <w:rFonts w:asciiTheme="minorHAnsi" w:hAnsiTheme="minorHAnsi" w:cstheme="minorHAnsi"/>
                <w:lang w:val="uk-UA"/>
              </w:rPr>
              <w:t>мають можливість користуватись книжковими фондами наукових бібліотек імені В. Стефаника НАН України  та  наукової бібліотеки університету.</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Загальний фонд наукової бібліотеки імені В. Стефаника НАН України  - більше 7 млн одиниць (станом на 2012 рік), з них більше 6 000 найменувань з міжнародних відносин.</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Загальний фонд наукової бібліотеки університету (станом на І квартал 2012 року) – 3 017 961 (державною мовою – 874 645, іноземною – 840 752, російською – 1 263 953),</w:t>
            </w:r>
          </w:p>
        </w:tc>
      </w:tr>
      <w:tr w:rsidR="00D719CC" w:rsidRPr="00A06500" w:rsidTr="00D719CC">
        <w:tc>
          <w:tcPr>
            <w:tcW w:w="9924" w:type="dxa"/>
            <w:gridSpan w:val="2"/>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1"/>
              <w:shd w:val="clear" w:color="auto" w:fill="FFFFFF"/>
              <w:tabs>
                <w:tab w:val="left" w:pos="279"/>
              </w:tabs>
              <w:spacing w:after="0"/>
              <w:ind w:left="159" w:firstLine="288"/>
              <w:jc w:val="both"/>
              <w:textAlignment w:val="baseline"/>
              <w:rPr>
                <w:rFonts w:asciiTheme="minorHAnsi" w:hAnsiTheme="minorHAnsi" w:cstheme="minorHAnsi"/>
                <w:b/>
                <w:sz w:val="24"/>
                <w:szCs w:val="24"/>
                <w:lang w:val="uk-UA"/>
              </w:rPr>
            </w:pPr>
          </w:p>
          <w:p w:rsidR="00D719CC" w:rsidRPr="00A06500" w:rsidRDefault="00D719CC" w:rsidP="005523E4">
            <w:pPr>
              <w:pStyle w:val="1"/>
              <w:shd w:val="clear" w:color="auto" w:fill="FFFFFF"/>
              <w:tabs>
                <w:tab w:val="left" w:pos="279"/>
              </w:tabs>
              <w:spacing w:after="0"/>
              <w:ind w:left="159" w:firstLine="288"/>
              <w:jc w:val="both"/>
              <w:textAlignment w:val="baseline"/>
              <w:rPr>
                <w:rFonts w:asciiTheme="minorHAnsi" w:hAnsiTheme="minorHAnsi" w:cstheme="minorHAnsi"/>
                <w:sz w:val="24"/>
                <w:szCs w:val="24"/>
                <w:lang w:val="uk-UA"/>
              </w:rPr>
            </w:pPr>
            <w:r w:rsidRPr="00A06500">
              <w:rPr>
                <w:rFonts w:asciiTheme="minorHAnsi" w:hAnsiTheme="minorHAnsi" w:cstheme="minorHAnsi"/>
                <w:b/>
                <w:sz w:val="24"/>
                <w:szCs w:val="24"/>
                <w:lang w:val="uk-UA"/>
              </w:rPr>
              <w:t>9. Академічна мобільність</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jc w:val="both"/>
              <w:rPr>
                <w:rFonts w:asciiTheme="minorHAnsi" w:hAnsiTheme="minorHAnsi" w:cstheme="minorHAnsi"/>
                <w:sz w:val="24"/>
                <w:szCs w:val="24"/>
                <w:lang w:val="uk-UA"/>
              </w:rPr>
            </w:pPr>
            <w:r w:rsidRPr="00A06500">
              <w:rPr>
                <w:rFonts w:asciiTheme="minorHAnsi" w:hAnsiTheme="minorHAnsi" w:cstheme="minorHAnsi"/>
                <w:b/>
                <w:sz w:val="24"/>
                <w:szCs w:val="24"/>
                <w:lang w:val="uk-UA"/>
              </w:rPr>
              <w:t>Національно-кредитна мобільність</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Індивідуальна академічна мобільність реалізується у рамках </w:t>
            </w:r>
            <w:proofErr w:type="spellStart"/>
            <w:r w:rsidRPr="00A06500">
              <w:rPr>
                <w:rFonts w:asciiTheme="minorHAnsi" w:hAnsiTheme="minorHAnsi" w:cstheme="minorHAnsi"/>
                <w:lang w:val="uk-UA"/>
              </w:rPr>
              <w:t>міжуніверситетських</w:t>
            </w:r>
            <w:proofErr w:type="spellEnd"/>
            <w:r w:rsidRPr="00A06500">
              <w:rPr>
                <w:rFonts w:asciiTheme="minorHAnsi" w:hAnsiTheme="minorHAnsi" w:cstheme="minorHAnsi"/>
                <w:lang w:val="uk-UA"/>
              </w:rPr>
              <w:t xml:space="preserve"> договорів про встановлення науково-освітянських відносин для задоволення потреб розвитку освіти і науки з низкою вітчизняних вищих навчальних закладів </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lastRenderedPageBreak/>
              <w:t xml:space="preserve">До керівництва науковою роботою здобувачів можуть бути залучені провідні фахівці університетів України на умовах індивідуальних договорів. </w:t>
            </w:r>
          </w:p>
          <w:p w:rsidR="00D719CC" w:rsidRPr="00A06500" w:rsidRDefault="00D719CC" w:rsidP="005523E4">
            <w:pPr>
              <w:pStyle w:val="1"/>
              <w:shd w:val="clear" w:color="auto" w:fill="FFFFFF"/>
              <w:tabs>
                <w:tab w:val="left" w:pos="279"/>
              </w:tabs>
              <w:snapToGrid w:val="0"/>
              <w:spacing w:after="0"/>
              <w:ind w:left="0" w:firstLine="288"/>
              <w:jc w:val="both"/>
              <w:textAlignment w:val="baseline"/>
              <w:rPr>
                <w:rFonts w:asciiTheme="minorHAnsi" w:hAnsiTheme="minorHAnsi" w:cstheme="minorHAnsi"/>
                <w:sz w:val="24"/>
                <w:szCs w:val="24"/>
                <w:lang w:val="uk-UA"/>
              </w:rPr>
            </w:pPr>
            <w:r w:rsidRPr="00A06500">
              <w:rPr>
                <w:rFonts w:asciiTheme="minorHAnsi" w:hAnsiTheme="minorHAnsi" w:cstheme="minorHAnsi"/>
                <w:sz w:val="24"/>
                <w:szCs w:val="24"/>
                <w:lang w:val="uk-UA"/>
              </w:rPr>
              <w:t xml:space="preserve">Допускається </w:t>
            </w:r>
            <w:proofErr w:type="spellStart"/>
            <w:r w:rsidRPr="00A06500">
              <w:rPr>
                <w:rFonts w:asciiTheme="minorHAnsi" w:hAnsiTheme="minorHAnsi" w:cstheme="minorHAnsi"/>
                <w:sz w:val="24"/>
                <w:szCs w:val="24"/>
                <w:lang w:val="uk-UA"/>
              </w:rPr>
              <w:t>перезарахування</w:t>
            </w:r>
            <w:proofErr w:type="spellEnd"/>
            <w:r w:rsidRPr="00A06500">
              <w:rPr>
                <w:rFonts w:asciiTheme="minorHAnsi" w:hAnsiTheme="minorHAnsi" w:cstheme="minorHAnsi"/>
                <w:sz w:val="24"/>
                <w:szCs w:val="24"/>
                <w:lang w:val="uk-UA"/>
              </w:rPr>
              <w:t xml:space="preserve"> кредитів, отриманих у інших університетах України, за умови відповідності їх набутих </w:t>
            </w:r>
            <w:proofErr w:type="spellStart"/>
            <w:r w:rsidRPr="00A06500">
              <w:rPr>
                <w:rFonts w:asciiTheme="minorHAnsi" w:hAnsiTheme="minorHAnsi" w:cstheme="minorHAnsi"/>
                <w:sz w:val="24"/>
                <w:szCs w:val="24"/>
                <w:lang w:val="uk-UA"/>
              </w:rPr>
              <w:t>компетентностей</w:t>
            </w:r>
            <w:proofErr w:type="spellEnd"/>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jc w:val="both"/>
              <w:rPr>
                <w:rFonts w:asciiTheme="minorHAnsi" w:hAnsiTheme="minorHAnsi" w:cstheme="minorHAnsi"/>
                <w:sz w:val="24"/>
                <w:szCs w:val="24"/>
                <w:lang w:val="uk-UA"/>
              </w:rPr>
            </w:pPr>
            <w:r w:rsidRPr="00A06500">
              <w:rPr>
                <w:rFonts w:asciiTheme="minorHAnsi" w:hAnsiTheme="minorHAnsi" w:cstheme="minorHAnsi"/>
                <w:b/>
                <w:sz w:val="24"/>
                <w:szCs w:val="24"/>
                <w:lang w:val="uk-UA"/>
              </w:rPr>
              <w:lastRenderedPageBreak/>
              <w:t xml:space="preserve">Міжнародна кредитна </w:t>
            </w:r>
            <w:proofErr w:type="spellStart"/>
            <w:r w:rsidRPr="00A06500">
              <w:rPr>
                <w:rFonts w:asciiTheme="minorHAnsi" w:hAnsiTheme="minorHAnsi" w:cstheme="minorHAnsi"/>
                <w:b/>
                <w:sz w:val="24"/>
                <w:szCs w:val="24"/>
                <w:lang w:val="uk-UA"/>
              </w:rPr>
              <w:t>мобіль-ність</w:t>
            </w:r>
            <w:proofErr w:type="spellEnd"/>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Факультет міжнародних відносин активно співпрацює з зарубіжними університетами-партнерами:</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Варшавський університет (Польща), Ягеллонський університет (Польща), Вроцлавський університет (Польща),</w:t>
            </w:r>
            <w:r w:rsidR="004F7362">
              <w:rPr>
                <w:rFonts w:asciiTheme="minorHAnsi" w:hAnsiTheme="minorHAnsi" w:cstheme="minorHAnsi"/>
                <w:lang w:val="uk-UA"/>
              </w:rPr>
              <w:t xml:space="preserve"> Люблінський університет ім. М. Кюрі-</w:t>
            </w:r>
            <w:proofErr w:type="spellStart"/>
            <w:r w:rsidR="004F7362">
              <w:rPr>
                <w:rFonts w:asciiTheme="minorHAnsi" w:hAnsiTheme="minorHAnsi" w:cstheme="minorHAnsi"/>
                <w:lang w:val="uk-UA"/>
              </w:rPr>
              <w:t>Склодовської</w:t>
            </w:r>
            <w:proofErr w:type="spellEnd"/>
            <w:r w:rsidR="004F7362">
              <w:rPr>
                <w:rFonts w:asciiTheme="minorHAnsi" w:hAnsiTheme="minorHAnsi" w:cstheme="minorHAnsi"/>
                <w:lang w:val="uk-UA"/>
              </w:rPr>
              <w:t xml:space="preserve"> (Польща),</w:t>
            </w:r>
            <w:r w:rsidRPr="00A06500">
              <w:rPr>
                <w:rFonts w:asciiTheme="minorHAnsi" w:hAnsiTheme="minorHAnsi" w:cstheme="minorHAnsi"/>
                <w:lang w:val="uk-UA"/>
              </w:rPr>
              <w:t xml:space="preserve"> Карлів університет (Чехія), Лондонський університет королеви Марії (Велика Британія),</w:t>
            </w:r>
            <w:r w:rsidR="004F7362">
              <w:rPr>
                <w:rFonts w:asciiTheme="minorHAnsi" w:hAnsiTheme="minorHAnsi" w:cstheme="minorHAnsi"/>
                <w:lang w:val="uk-UA"/>
              </w:rPr>
              <w:t xml:space="preserve"> Болонський університет (Італія), Університет ім. </w:t>
            </w:r>
            <w:proofErr w:type="spellStart"/>
            <w:r w:rsidR="004F7362">
              <w:rPr>
                <w:rFonts w:asciiTheme="minorHAnsi" w:hAnsiTheme="minorHAnsi" w:cstheme="minorHAnsi"/>
                <w:lang w:val="uk-UA"/>
              </w:rPr>
              <w:t>Дж</w:t>
            </w:r>
            <w:proofErr w:type="spellEnd"/>
            <w:r w:rsidR="004F7362">
              <w:rPr>
                <w:rFonts w:asciiTheme="minorHAnsi" w:hAnsiTheme="minorHAnsi" w:cstheme="minorHAnsi"/>
                <w:lang w:val="uk-UA"/>
              </w:rPr>
              <w:t xml:space="preserve">. </w:t>
            </w:r>
            <w:proofErr w:type="spellStart"/>
            <w:r w:rsidR="004F7362">
              <w:rPr>
                <w:rFonts w:asciiTheme="minorHAnsi" w:hAnsiTheme="minorHAnsi" w:cstheme="minorHAnsi"/>
                <w:lang w:val="uk-UA"/>
              </w:rPr>
              <w:t>Вашигтона</w:t>
            </w:r>
            <w:proofErr w:type="spellEnd"/>
            <w:r w:rsidR="004F7362">
              <w:rPr>
                <w:rFonts w:asciiTheme="minorHAnsi" w:hAnsiTheme="minorHAnsi" w:cstheme="minorHAnsi"/>
                <w:lang w:val="uk-UA"/>
              </w:rPr>
              <w:t xml:space="preserve"> (США),</w:t>
            </w:r>
            <w:r w:rsidRPr="00A06500">
              <w:rPr>
                <w:rFonts w:asciiTheme="minorHAnsi" w:hAnsiTheme="minorHAnsi" w:cstheme="minorHAnsi"/>
                <w:lang w:val="uk-UA"/>
              </w:rPr>
              <w:t xml:space="preserve"> </w:t>
            </w:r>
            <w:r w:rsidR="004F7362">
              <w:rPr>
                <w:rFonts w:asciiTheme="minorHAnsi" w:hAnsiTheme="minorHAnsi" w:cstheme="minorHAnsi"/>
                <w:lang w:val="uk-UA"/>
              </w:rPr>
              <w:t>Оттавський</w:t>
            </w:r>
            <w:r w:rsidRPr="00A06500">
              <w:rPr>
                <w:rFonts w:asciiTheme="minorHAnsi" w:hAnsiTheme="minorHAnsi" w:cstheme="minorHAnsi"/>
                <w:lang w:val="uk-UA"/>
              </w:rPr>
              <w:t xml:space="preserve"> університет (Канада), Вільнюський університет (Литва), Університет освіти </w:t>
            </w:r>
            <w:proofErr w:type="spellStart"/>
            <w:r w:rsidRPr="00A06500">
              <w:rPr>
                <w:rFonts w:asciiTheme="minorHAnsi" w:hAnsiTheme="minorHAnsi" w:cstheme="minorHAnsi"/>
                <w:lang w:val="uk-UA"/>
              </w:rPr>
              <w:t>Фрайбург</w:t>
            </w:r>
            <w:proofErr w:type="spellEnd"/>
            <w:r w:rsidRPr="00A06500">
              <w:rPr>
                <w:rFonts w:asciiTheme="minorHAnsi" w:hAnsiTheme="minorHAnsi" w:cstheme="minorHAnsi"/>
                <w:lang w:val="uk-UA"/>
              </w:rPr>
              <w:t xml:space="preserve"> (Німеччина), </w:t>
            </w:r>
            <w:r w:rsidR="004F7362">
              <w:rPr>
                <w:rFonts w:asciiTheme="minorHAnsi" w:hAnsiTheme="minorHAnsi" w:cstheme="minorHAnsi"/>
                <w:lang w:val="uk-UA"/>
              </w:rPr>
              <w:t>Тартуський університет (Естонія)</w:t>
            </w:r>
            <w:r w:rsidRPr="00A06500">
              <w:rPr>
                <w:rFonts w:asciiTheme="minorHAnsi" w:hAnsiTheme="minorHAnsi" w:cstheme="minorHAnsi"/>
                <w:lang w:val="uk-UA"/>
              </w:rPr>
              <w:t>,</w:t>
            </w:r>
            <w:r w:rsidR="004F7362">
              <w:rPr>
                <w:rFonts w:asciiTheme="minorHAnsi" w:hAnsiTheme="minorHAnsi" w:cstheme="minorHAnsi"/>
                <w:lang w:val="uk-UA"/>
              </w:rPr>
              <w:t xml:space="preserve"> Віденський університет (Австрія)</w:t>
            </w:r>
            <w:r w:rsidRPr="00A06500">
              <w:rPr>
                <w:rFonts w:asciiTheme="minorHAnsi" w:hAnsiTheme="minorHAnsi" w:cstheme="minorHAnsi"/>
                <w:lang w:val="uk-UA"/>
              </w:rPr>
              <w:t xml:space="preserve"> та багато інших.</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Факультет міжнародних відносин був учасникам </w:t>
            </w:r>
            <w:r w:rsidR="004F7362">
              <w:rPr>
                <w:rFonts w:asciiTheme="minorHAnsi" w:hAnsiTheme="minorHAnsi" w:cstheme="minorHAnsi"/>
                <w:lang w:val="uk-UA"/>
              </w:rPr>
              <w:t>кількох</w:t>
            </w:r>
            <w:r w:rsidRPr="00A06500">
              <w:rPr>
                <w:rFonts w:asciiTheme="minorHAnsi" w:hAnsiTheme="minorHAnsi" w:cstheme="minorHAnsi"/>
                <w:lang w:val="uk-UA"/>
              </w:rPr>
              <w:t xml:space="preserve"> </w:t>
            </w:r>
            <w:proofErr w:type="spellStart"/>
            <w:r w:rsidRPr="00A06500">
              <w:rPr>
                <w:rFonts w:asciiTheme="minorHAnsi" w:hAnsiTheme="minorHAnsi" w:cstheme="minorHAnsi"/>
                <w:lang w:val="uk-UA"/>
              </w:rPr>
              <w:t>Темпус</w:t>
            </w:r>
            <w:proofErr w:type="spellEnd"/>
            <w:r w:rsidRPr="00A06500">
              <w:rPr>
                <w:rFonts w:asciiTheme="minorHAnsi" w:hAnsiTheme="minorHAnsi" w:cstheme="minorHAnsi"/>
                <w:lang w:val="uk-UA"/>
              </w:rPr>
              <w:t xml:space="preserve"> проектів </w:t>
            </w:r>
          </w:p>
          <w:p w:rsidR="00A66078" w:rsidRDefault="00A66078" w:rsidP="005523E4">
            <w:pPr>
              <w:pStyle w:val="Default"/>
              <w:spacing w:line="276" w:lineRule="auto"/>
              <w:ind w:firstLine="288"/>
              <w:jc w:val="both"/>
              <w:rPr>
                <w:rFonts w:asciiTheme="minorHAnsi" w:hAnsiTheme="minorHAnsi" w:cstheme="minorHAnsi"/>
                <w:lang w:val="uk-UA"/>
              </w:rPr>
            </w:pPr>
            <w:r w:rsidRPr="004F7362">
              <w:rPr>
                <w:rFonts w:asciiTheme="minorHAnsi" w:hAnsiTheme="minorHAnsi" w:cstheme="minorHAnsi"/>
                <w:lang w:val="uk-UA"/>
              </w:rPr>
              <w:t>«IMPRESS» - «Підвищення ефективності студентських служб» 530534-Tempus-1-2012-1-UK-Tempus-SMGR.</w:t>
            </w:r>
            <w:r>
              <w:t xml:space="preserve"> </w:t>
            </w:r>
            <w:r w:rsidRPr="004F7362">
              <w:rPr>
                <w:rFonts w:asciiTheme="minorHAnsi" w:hAnsiTheme="minorHAnsi" w:cstheme="minorHAnsi"/>
                <w:lang w:val="uk-UA"/>
              </w:rPr>
              <w:t>Проект тривав упродовж 201</w:t>
            </w:r>
            <w:r>
              <w:rPr>
                <w:rFonts w:asciiTheme="minorHAnsi" w:hAnsiTheme="minorHAnsi" w:cstheme="minorHAnsi"/>
                <w:lang w:val="uk-UA"/>
              </w:rPr>
              <w:t>3</w:t>
            </w:r>
            <w:r w:rsidRPr="004F7362">
              <w:rPr>
                <w:rFonts w:asciiTheme="minorHAnsi" w:hAnsiTheme="minorHAnsi" w:cstheme="minorHAnsi"/>
                <w:lang w:val="uk-UA"/>
              </w:rPr>
              <w:t>–201</w:t>
            </w:r>
            <w:r>
              <w:rPr>
                <w:rFonts w:asciiTheme="minorHAnsi" w:hAnsiTheme="minorHAnsi" w:cstheme="minorHAnsi"/>
                <w:lang w:val="uk-UA"/>
              </w:rPr>
              <w:t>6</w:t>
            </w:r>
            <w:r w:rsidRPr="004F7362">
              <w:rPr>
                <w:rFonts w:asciiTheme="minorHAnsi" w:hAnsiTheme="minorHAnsi" w:cstheme="minorHAnsi"/>
                <w:lang w:val="uk-UA"/>
              </w:rPr>
              <w:t xml:space="preserve"> р.</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530360-TEMPUS-1-2012-1</w:t>
            </w:r>
            <w:r w:rsidR="004F7362">
              <w:rPr>
                <w:rFonts w:asciiTheme="minorHAnsi" w:hAnsiTheme="minorHAnsi" w:cstheme="minorHAnsi"/>
                <w:lang w:val="uk-UA"/>
              </w:rPr>
              <w:t xml:space="preserve">-GE-TEMPUS-JPCR </w:t>
            </w:r>
            <w:r w:rsidRPr="00A06500">
              <w:rPr>
                <w:rFonts w:asciiTheme="minorHAnsi" w:hAnsiTheme="minorHAnsi" w:cstheme="minorHAnsi"/>
                <w:lang w:val="uk-UA"/>
              </w:rPr>
              <w:t xml:space="preserve">Розвиток та впровадження освітніх програм з </w:t>
            </w:r>
            <w:proofErr w:type="spellStart"/>
            <w:r w:rsidRPr="00A06500">
              <w:rPr>
                <w:rFonts w:asciiTheme="minorHAnsi" w:hAnsiTheme="minorHAnsi" w:cstheme="minorHAnsi"/>
                <w:lang w:val="uk-UA"/>
              </w:rPr>
              <w:t>мультилінгвальної</w:t>
            </w:r>
            <w:proofErr w:type="spellEnd"/>
            <w:r w:rsidRPr="00A06500">
              <w:rPr>
                <w:rFonts w:asciiTheme="minorHAnsi" w:hAnsiTheme="minorHAnsi" w:cstheme="minorHAnsi"/>
                <w:lang w:val="uk-UA"/>
              </w:rPr>
              <w:t xml:space="preserve"> підготовки вчителів в уні</w:t>
            </w:r>
            <w:r w:rsidR="004F7362">
              <w:rPr>
                <w:rFonts w:asciiTheme="minorHAnsi" w:hAnsiTheme="minorHAnsi" w:cstheme="minorHAnsi"/>
                <w:lang w:val="uk-UA"/>
              </w:rPr>
              <w:t>верситетах Грузії та України</w:t>
            </w:r>
            <w:r w:rsidRPr="00A06500">
              <w:rPr>
                <w:rFonts w:asciiTheme="minorHAnsi" w:hAnsiTheme="minorHAnsi" w:cstheme="minorHAnsi"/>
                <w:lang w:val="uk-UA"/>
              </w:rPr>
              <w:t>. Проект тривав упродовж 2012–2016 р.</w:t>
            </w:r>
          </w:p>
          <w:p w:rsidR="004F7362" w:rsidRPr="00A06500" w:rsidRDefault="004F7362" w:rsidP="00A66078">
            <w:pPr>
              <w:pStyle w:val="Default"/>
              <w:spacing w:line="276" w:lineRule="auto"/>
              <w:ind w:firstLine="288"/>
              <w:jc w:val="both"/>
              <w:rPr>
                <w:rFonts w:asciiTheme="minorHAnsi" w:hAnsiTheme="minorHAnsi" w:cstheme="minorHAnsi"/>
                <w:lang w:val="uk-UA"/>
              </w:rPr>
            </w:pPr>
            <w:r>
              <w:rPr>
                <w:rFonts w:asciiTheme="minorHAnsi" w:hAnsiTheme="minorHAnsi" w:cstheme="minorHAnsi"/>
                <w:lang w:val="uk-UA"/>
              </w:rPr>
              <w:t xml:space="preserve">EUNEG – </w:t>
            </w:r>
            <w:r w:rsidRPr="00A06500">
              <w:rPr>
                <w:rFonts w:asciiTheme="minorHAnsi" w:hAnsiTheme="minorHAnsi" w:cstheme="minorHAnsi"/>
                <w:lang w:val="uk-UA"/>
              </w:rPr>
              <w:t>Європейська політика добросусідства та ефективного врядування</w:t>
            </w:r>
            <w:r w:rsidRPr="00A06500">
              <w:rPr>
                <w:rFonts w:asciiTheme="minorHAnsi" w:hAnsiTheme="minorHAnsi" w:cstheme="minorHAnsi"/>
                <w:lang w:val="uk-UA"/>
              </w:rPr>
              <w:t xml:space="preserve"> </w:t>
            </w:r>
            <w:r w:rsidR="00D719CC" w:rsidRPr="00A06500">
              <w:rPr>
                <w:rFonts w:asciiTheme="minorHAnsi" w:hAnsiTheme="minorHAnsi" w:cstheme="minorHAnsi"/>
                <w:lang w:val="uk-UA"/>
              </w:rPr>
              <w:t>530391-TEMPUS-1-2012-1-SI-TEMPUS-JPCR</w:t>
            </w:r>
            <w:r>
              <w:rPr>
                <w:rFonts w:asciiTheme="minorHAnsi" w:hAnsiTheme="minorHAnsi" w:cstheme="minorHAnsi"/>
                <w:lang w:val="uk-UA"/>
              </w:rPr>
              <w:t>.</w:t>
            </w:r>
            <w:r w:rsidR="00D719CC" w:rsidRPr="00A06500">
              <w:rPr>
                <w:rFonts w:asciiTheme="minorHAnsi" w:hAnsiTheme="minorHAnsi" w:cstheme="minorHAnsi"/>
                <w:lang w:val="uk-UA"/>
              </w:rPr>
              <w:t xml:space="preserve"> Координатор – Університет </w:t>
            </w:r>
            <w:proofErr w:type="spellStart"/>
            <w:r w:rsidR="00D719CC" w:rsidRPr="00A06500">
              <w:rPr>
                <w:rFonts w:asciiTheme="minorHAnsi" w:hAnsiTheme="minorHAnsi" w:cstheme="minorHAnsi"/>
                <w:lang w:val="uk-UA"/>
              </w:rPr>
              <w:t>Марібору</w:t>
            </w:r>
            <w:proofErr w:type="spellEnd"/>
            <w:r w:rsidR="00D719CC" w:rsidRPr="00A06500">
              <w:rPr>
                <w:rFonts w:asciiTheme="minorHAnsi" w:hAnsiTheme="minorHAnsi" w:cstheme="minorHAnsi"/>
                <w:lang w:val="uk-UA"/>
              </w:rPr>
              <w:t>, Словенія</w:t>
            </w:r>
            <w:r>
              <w:t xml:space="preserve"> </w:t>
            </w:r>
            <w:r w:rsidRPr="004F7362">
              <w:rPr>
                <w:rFonts w:asciiTheme="minorHAnsi" w:hAnsiTheme="minorHAnsi" w:cstheme="minorHAnsi"/>
                <w:lang w:val="uk-UA"/>
              </w:rPr>
              <w:t>Проект тривав упродовж 201</w:t>
            </w:r>
            <w:r>
              <w:rPr>
                <w:rFonts w:asciiTheme="minorHAnsi" w:hAnsiTheme="minorHAnsi" w:cstheme="minorHAnsi"/>
                <w:lang w:val="uk-UA"/>
              </w:rPr>
              <w:t>2</w:t>
            </w:r>
            <w:r w:rsidRPr="004F7362">
              <w:rPr>
                <w:rFonts w:asciiTheme="minorHAnsi" w:hAnsiTheme="minorHAnsi" w:cstheme="minorHAnsi"/>
                <w:lang w:val="uk-UA"/>
              </w:rPr>
              <w:t>–201</w:t>
            </w:r>
            <w:r>
              <w:rPr>
                <w:rFonts w:asciiTheme="minorHAnsi" w:hAnsiTheme="minorHAnsi" w:cstheme="minorHAnsi"/>
                <w:lang w:val="uk-UA"/>
              </w:rPr>
              <w:t>5</w:t>
            </w:r>
            <w:r w:rsidRPr="004F7362">
              <w:rPr>
                <w:rFonts w:asciiTheme="minorHAnsi" w:hAnsiTheme="minorHAnsi" w:cstheme="minorHAnsi"/>
                <w:lang w:val="uk-UA"/>
              </w:rPr>
              <w:t xml:space="preserve"> р.</w:t>
            </w:r>
            <w:bookmarkStart w:id="0" w:name="_GoBack"/>
            <w:bookmarkEnd w:id="0"/>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Факультет міжнародних відносин брав участь у програмі міжнародних академічних обмінів ЄС «</w:t>
            </w:r>
            <w:proofErr w:type="spellStart"/>
            <w:r w:rsidRPr="00A06500">
              <w:rPr>
                <w:rFonts w:asciiTheme="minorHAnsi" w:hAnsiTheme="minorHAnsi" w:cstheme="minorHAnsi"/>
                <w:lang w:val="uk-UA"/>
              </w:rPr>
              <w:t>Еразмус</w:t>
            </w:r>
            <w:proofErr w:type="spellEnd"/>
            <w:r w:rsidRPr="00A06500">
              <w:rPr>
                <w:rFonts w:asciiTheme="minorHAnsi" w:hAnsiTheme="minorHAnsi" w:cstheme="minorHAnsi"/>
                <w:lang w:val="uk-UA"/>
              </w:rPr>
              <w:t xml:space="preserve"> </w:t>
            </w:r>
            <w:proofErr w:type="spellStart"/>
            <w:r w:rsidRPr="00A06500">
              <w:rPr>
                <w:rFonts w:asciiTheme="minorHAnsi" w:hAnsiTheme="minorHAnsi" w:cstheme="minorHAnsi"/>
                <w:lang w:val="uk-UA"/>
              </w:rPr>
              <w:t>Мундус</w:t>
            </w:r>
            <w:proofErr w:type="spellEnd"/>
            <w:r w:rsidRPr="00A06500">
              <w:rPr>
                <w:rFonts w:asciiTheme="minorHAnsi" w:hAnsiTheme="minorHAnsi" w:cstheme="minorHAnsi"/>
                <w:lang w:val="uk-UA"/>
              </w:rPr>
              <w:t>» за напрямом «Партнерство»:</w:t>
            </w:r>
          </w:p>
          <w:p w:rsidR="00D719CC" w:rsidRPr="00A06500" w:rsidRDefault="00D719CC" w:rsidP="005523E4">
            <w:pPr>
              <w:pStyle w:val="Default"/>
              <w:spacing w:line="276" w:lineRule="auto"/>
              <w:ind w:firstLine="288"/>
              <w:jc w:val="both"/>
              <w:rPr>
                <w:rFonts w:asciiTheme="minorHAnsi" w:hAnsiTheme="minorHAnsi" w:cstheme="minorHAnsi"/>
                <w:lang w:val="uk-UA"/>
              </w:rPr>
            </w:pPr>
            <w:proofErr w:type="spellStart"/>
            <w:r w:rsidRPr="00A06500">
              <w:rPr>
                <w:rFonts w:asciiTheme="minorHAnsi" w:hAnsiTheme="minorHAnsi" w:cstheme="minorHAnsi"/>
                <w:lang w:val="uk-UA"/>
              </w:rPr>
              <w:t>Еразмус</w:t>
            </w:r>
            <w:proofErr w:type="spellEnd"/>
            <w:r w:rsidRPr="00A06500">
              <w:rPr>
                <w:rFonts w:asciiTheme="minorHAnsi" w:hAnsiTheme="minorHAnsi" w:cstheme="minorHAnsi"/>
                <w:lang w:val="uk-UA"/>
              </w:rPr>
              <w:t xml:space="preserve"> </w:t>
            </w:r>
            <w:proofErr w:type="spellStart"/>
            <w:r w:rsidRPr="00A06500">
              <w:rPr>
                <w:rFonts w:asciiTheme="minorHAnsi" w:hAnsiTheme="minorHAnsi" w:cstheme="minorHAnsi"/>
                <w:lang w:val="uk-UA"/>
              </w:rPr>
              <w:t>Мундус</w:t>
            </w:r>
            <w:proofErr w:type="spellEnd"/>
            <w:r w:rsidRPr="00A06500">
              <w:rPr>
                <w:rFonts w:asciiTheme="minorHAnsi" w:hAnsiTheme="minorHAnsi" w:cstheme="minorHAnsi"/>
                <w:lang w:val="uk-UA"/>
              </w:rPr>
              <w:t xml:space="preserve"> – Вікно зовнішньої співпраці для Білорусі, України та Молдови (Лот 6/7) </w:t>
            </w:r>
          </w:p>
          <w:p w:rsidR="00D719CC" w:rsidRPr="00A06500" w:rsidRDefault="00D719CC" w:rsidP="005523E4">
            <w:pPr>
              <w:pStyle w:val="Default"/>
              <w:spacing w:line="276" w:lineRule="auto"/>
              <w:ind w:firstLine="288"/>
              <w:jc w:val="both"/>
              <w:rPr>
                <w:rFonts w:asciiTheme="minorHAnsi" w:hAnsiTheme="minorHAnsi" w:cstheme="minorHAnsi"/>
                <w:lang w:val="uk-UA"/>
              </w:rPr>
            </w:pPr>
            <w:proofErr w:type="spellStart"/>
            <w:r w:rsidRPr="00A06500">
              <w:rPr>
                <w:rFonts w:asciiTheme="minorHAnsi" w:hAnsiTheme="minorHAnsi" w:cstheme="minorHAnsi"/>
                <w:lang w:val="uk-UA"/>
              </w:rPr>
              <w:t>Еразмус</w:t>
            </w:r>
            <w:proofErr w:type="spellEnd"/>
            <w:r w:rsidRPr="00A06500">
              <w:rPr>
                <w:rFonts w:asciiTheme="minorHAnsi" w:hAnsiTheme="minorHAnsi" w:cstheme="minorHAnsi"/>
                <w:lang w:val="uk-UA"/>
              </w:rPr>
              <w:t xml:space="preserve"> </w:t>
            </w:r>
            <w:proofErr w:type="spellStart"/>
            <w:r w:rsidRPr="00A06500">
              <w:rPr>
                <w:rFonts w:asciiTheme="minorHAnsi" w:hAnsiTheme="minorHAnsi" w:cstheme="minorHAnsi"/>
                <w:lang w:val="uk-UA"/>
              </w:rPr>
              <w:t>Мундус</w:t>
            </w:r>
            <w:proofErr w:type="spellEnd"/>
            <w:r w:rsidRPr="00A06500">
              <w:rPr>
                <w:rFonts w:asciiTheme="minorHAnsi" w:hAnsiTheme="minorHAnsi" w:cstheme="minorHAnsi"/>
                <w:lang w:val="uk-UA"/>
              </w:rPr>
              <w:t xml:space="preserve"> Напрям 2, Лот 7/8/5 – Партнерські проекти (</w:t>
            </w:r>
            <w:proofErr w:type="spellStart"/>
            <w:r w:rsidRPr="00A06500">
              <w:rPr>
                <w:rFonts w:asciiTheme="minorHAnsi" w:hAnsiTheme="minorHAnsi" w:cstheme="minorHAnsi"/>
                <w:lang w:val="uk-UA"/>
              </w:rPr>
              <w:t>Erasmus</w:t>
            </w:r>
            <w:proofErr w:type="spellEnd"/>
            <w:r w:rsidRPr="00A06500">
              <w:rPr>
                <w:rFonts w:asciiTheme="minorHAnsi" w:hAnsiTheme="minorHAnsi" w:cstheme="minorHAnsi"/>
                <w:lang w:val="uk-UA"/>
              </w:rPr>
              <w:t xml:space="preserve"> </w:t>
            </w:r>
            <w:proofErr w:type="spellStart"/>
            <w:r w:rsidRPr="00A06500">
              <w:rPr>
                <w:rFonts w:asciiTheme="minorHAnsi" w:hAnsiTheme="minorHAnsi" w:cstheme="minorHAnsi"/>
                <w:lang w:val="uk-UA"/>
              </w:rPr>
              <w:t>Mundus</w:t>
            </w:r>
            <w:proofErr w:type="spellEnd"/>
            <w:r w:rsidRPr="00A06500">
              <w:rPr>
                <w:rFonts w:asciiTheme="minorHAnsi" w:hAnsiTheme="minorHAnsi" w:cstheme="minorHAnsi"/>
                <w:lang w:val="uk-UA"/>
              </w:rPr>
              <w:t xml:space="preserve"> </w:t>
            </w:r>
            <w:proofErr w:type="spellStart"/>
            <w:r w:rsidRPr="00A06500">
              <w:rPr>
                <w:rFonts w:asciiTheme="minorHAnsi" w:hAnsiTheme="minorHAnsi" w:cstheme="minorHAnsi"/>
                <w:lang w:val="uk-UA"/>
              </w:rPr>
              <w:t>Action</w:t>
            </w:r>
            <w:proofErr w:type="spellEnd"/>
            <w:r w:rsidRPr="00A06500">
              <w:rPr>
                <w:rFonts w:asciiTheme="minorHAnsi" w:hAnsiTheme="minorHAnsi" w:cstheme="minorHAnsi"/>
                <w:lang w:val="uk-UA"/>
              </w:rPr>
              <w:t xml:space="preserve"> 2 – </w:t>
            </w:r>
            <w:proofErr w:type="spellStart"/>
            <w:r w:rsidRPr="00A06500">
              <w:rPr>
                <w:rFonts w:asciiTheme="minorHAnsi" w:hAnsiTheme="minorHAnsi" w:cstheme="minorHAnsi"/>
                <w:lang w:val="uk-UA"/>
              </w:rPr>
              <w:t>Partnerships</w:t>
            </w:r>
            <w:proofErr w:type="spellEnd"/>
            <w:r w:rsidRPr="00A06500">
              <w:rPr>
                <w:rFonts w:asciiTheme="minorHAnsi" w:hAnsiTheme="minorHAnsi" w:cstheme="minorHAnsi"/>
                <w:lang w:val="uk-UA"/>
              </w:rPr>
              <w:t xml:space="preserve">, </w:t>
            </w:r>
            <w:proofErr w:type="spellStart"/>
            <w:r w:rsidRPr="00A06500">
              <w:rPr>
                <w:rFonts w:asciiTheme="minorHAnsi" w:hAnsiTheme="minorHAnsi" w:cstheme="minorHAnsi"/>
                <w:lang w:val="uk-UA"/>
              </w:rPr>
              <w:t>Lot</w:t>
            </w:r>
            <w:proofErr w:type="spellEnd"/>
            <w:r w:rsidRPr="00A06500">
              <w:rPr>
                <w:rFonts w:asciiTheme="minorHAnsi" w:hAnsiTheme="minorHAnsi" w:cstheme="minorHAnsi"/>
                <w:lang w:val="uk-UA"/>
              </w:rPr>
              <w:t xml:space="preserve"> 7/8/5)</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У 2014 р. розпо</w:t>
            </w:r>
            <w:r w:rsidR="004F7362">
              <w:rPr>
                <w:rFonts w:asciiTheme="minorHAnsi" w:hAnsiTheme="minorHAnsi" w:cstheme="minorHAnsi"/>
                <w:lang w:val="uk-UA"/>
              </w:rPr>
              <w:t xml:space="preserve">чалася нова програма </w:t>
            </w:r>
            <w:proofErr w:type="spellStart"/>
            <w:r w:rsidR="004F7362">
              <w:rPr>
                <w:rFonts w:asciiTheme="minorHAnsi" w:hAnsiTheme="minorHAnsi" w:cstheme="minorHAnsi"/>
                <w:lang w:val="uk-UA"/>
              </w:rPr>
              <w:t>Еразмус</w:t>
            </w:r>
            <w:proofErr w:type="spellEnd"/>
            <w:r w:rsidR="004F7362">
              <w:rPr>
                <w:rFonts w:asciiTheme="minorHAnsi" w:hAnsiTheme="minorHAnsi" w:cstheme="minorHAnsi"/>
                <w:lang w:val="uk-UA"/>
              </w:rPr>
              <w:t>+</w:t>
            </w:r>
            <w:r w:rsidRPr="00A06500">
              <w:rPr>
                <w:rFonts w:asciiTheme="minorHAnsi" w:hAnsiTheme="minorHAnsi" w:cstheme="minorHAnsi"/>
                <w:lang w:val="uk-UA"/>
              </w:rPr>
              <w:t xml:space="preserve"> під напрямами КА1 (Навчальна мобільність) та КА2 (Проекти співпраці) </w:t>
            </w:r>
            <w:r w:rsidR="004F7362">
              <w:rPr>
                <w:rFonts w:asciiTheme="minorHAnsi" w:hAnsiTheme="minorHAnsi" w:cstheme="minorHAnsi"/>
                <w:lang w:val="uk-UA"/>
              </w:rPr>
              <w:t xml:space="preserve">та Програма ім. </w:t>
            </w:r>
            <w:r w:rsidRPr="00A06500">
              <w:rPr>
                <w:rFonts w:asciiTheme="minorHAnsi" w:hAnsiTheme="minorHAnsi" w:cstheme="minorHAnsi"/>
                <w:lang w:val="uk-UA"/>
              </w:rPr>
              <w:t>Жана Моне..</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З 2015 року ФМВ є активним учасником проектів </w:t>
            </w:r>
            <w:proofErr w:type="spellStart"/>
            <w:r w:rsidRPr="00A06500">
              <w:rPr>
                <w:rFonts w:asciiTheme="minorHAnsi" w:hAnsiTheme="minorHAnsi" w:cstheme="minorHAnsi"/>
                <w:lang w:val="uk-UA"/>
              </w:rPr>
              <w:t>Еразмус</w:t>
            </w:r>
            <w:proofErr w:type="spellEnd"/>
            <w:r w:rsidRPr="00A06500">
              <w:rPr>
                <w:rFonts w:asciiTheme="minorHAnsi" w:hAnsiTheme="minorHAnsi" w:cstheme="minorHAnsi"/>
                <w:lang w:val="uk-UA"/>
              </w:rPr>
              <w:t xml:space="preserve">+ КА 1, які передбачають академічну мобільність студентів, викладачів та адміністративних працівників. Напрацювано більш ніш 45 двосторонніх угод </w:t>
            </w:r>
            <w:proofErr w:type="spellStart"/>
            <w:r w:rsidRPr="00A06500">
              <w:rPr>
                <w:rFonts w:asciiTheme="minorHAnsi" w:hAnsiTheme="minorHAnsi" w:cstheme="minorHAnsi"/>
                <w:lang w:val="uk-UA"/>
              </w:rPr>
              <w:t>Еразмус</w:t>
            </w:r>
            <w:proofErr w:type="spellEnd"/>
            <w:r w:rsidRPr="00A06500">
              <w:rPr>
                <w:rFonts w:asciiTheme="minorHAnsi" w:hAnsiTheme="minorHAnsi" w:cstheme="minorHAnsi"/>
                <w:lang w:val="uk-UA"/>
              </w:rPr>
              <w:t xml:space="preserve">+ з </w:t>
            </w:r>
            <w:r w:rsidRPr="00A06500">
              <w:rPr>
                <w:rFonts w:asciiTheme="minorHAnsi" w:hAnsiTheme="minorHAnsi" w:cstheme="minorHAnsi"/>
                <w:lang w:val="uk-UA"/>
              </w:rPr>
              <w:lastRenderedPageBreak/>
              <w:t xml:space="preserve">провідними університетами Європейського Союзу. Більшість угод відкриті і для академічних </w:t>
            </w:r>
            <w:proofErr w:type="spellStart"/>
            <w:r w:rsidRPr="00A06500">
              <w:rPr>
                <w:rFonts w:asciiTheme="minorHAnsi" w:hAnsiTheme="minorHAnsi" w:cstheme="minorHAnsi"/>
                <w:lang w:val="uk-UA"/>
              </w:rPr>
              <w:t>мобільностей</w:t>
            </w:r>
            <w:proofErr w:type="spellEnd"/>
            <w:r w:rsidRPr="00A06500">
              <w:rPr>
                <w:rFonts w:asciiTheme="minorHAnsi" w:hAnsiTheme="minorHAnsi" w:cstheme="minorHAnsi"/>
                <w:lang w:val="uk-UA"/>
              </w:rPr>
              <w:t xml:space="preserve"> студентів та викладачів факультету міжнародних відносин.</w:t>
            </w:r>
          </w:p>
          <w:p w:rsidR="00D719CC" w:rsidRPr="00A06500" w:rsidRDefault="00D719CC" w:rsidP="005523E4">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 xml:space="preserve">На факультеті </w:t>
            </w:r>
            <w:r w:rsidR="004F7362">
              <w:rPr>
                <w:rFonts w:asciiTheme="minorHAnsi" w:hAnsiTheme="minorHAnsi" w:cstheme="minorHAnsi"/>
                <w:lang w:val="uk-UA"/>
              </w:rPr>
              <w:t>розпочалася</w:t>
            </w:r>
            <w:r w:rsidRPr="00A06500">
              <w:rPr>
                <w:rFonts w:asciiTheme="minorHAnsi" w:hAnsiTheme="minorHAnsi" w:cstheme="minorHAnsi"/>
                <w:lang w:val="uk-UA"/>
              </w:rPr>
              <w:t xml:space="preserve"> реалізація проекту </w:t>
            </w:r>
            <w:proofErr w:type="spellStart"/>
            <w:r w:rsidR="004F7362" w:rsidRPr="004F7362">
              <w:rPr>
                <w:rFonts w:asciiTheme="minorHAnsi" w:hAnsiTheme="minorHAnsi" w:cstheme="minorHAnsi"/>
                <w:lang w:val="uk-UA"/>
              </w:rPr>
              <w:t>Еразмус</w:t>
            </w:r>
            <w:proofErr w:type="spellEnd"/>
            <w:r w:rsidR="004F7362" w:rsidRPr="004F7362">
              <w:rPr>
                <w:rFonts w:asciiTheme="minorHAnsi" w:hAnsiTheme="minorHAnsi" w:cstheme="minorHAnsi"/>
                <w:lang w:val="uk-UA"/>
              </w:rPr>
              <w:t xml:space="preserve">+ КА </w:t>
            </w:r>
            <w:r w:rsidR="004F7362">
              <w:rPr>
                <w:rFonts w:asciiTheme="minorHAnsi" w:hAnsiTheme="minorHAnsi" w:cstheme="minorHAnsi"/>
                <w:lang w:val="uk-UA"/>
              </w:rPr>
              <w:t xml:space="preserve">2 </w:t>
            </w:r>
            <w:r w:rsidRPr="00A06500">
              <w:rPr>
                <w:rFonts w:asciiTheme="minorHAnsi" w:hAnsiTheme="minorHAnsi" w:cstheme="minorHAnsi"/>
                <w:lang w:val="uk-UA"/>
              </w:rPr>
              <w:t xml:space="preserve">– </w:t>
            </w:r>
            <w:r w:rsidR="004F7362" w:rsidRPr="00A06500">
              <w:rPr>
                <w:rFonts w:asciiTheme="minorHAnsi" w:hAnsiTheme="minorHAnsi" w:cstheme="minorHAnsi"/>
                <w:lang w:val="uk-UA"/>
              </w:rPr>
              <w:t>Переосмислення регіональних досліджень: Балто-Чорноморський зв’язок</w:t>
            </w:r>
            <w:r w:rsidR="004F7362" w:rsidRPr="00A06500">
              <w:rPr>
                <w:rFonts w:asciiTheme="minorHAnsi" w:hAnsiTheme="minorHAnsi" w:cstheme="minorHAnsi"/>
                <w:lang w:val="uk-UA"/>
              </w:rPr>
              <w:t xml:space="preserve"> </w:t>
            </w:r>
            <w:r w:rsidRPr="00A06500">
              <w:rPr>
                <w:rFonts w:asciiTheme="minorHAnsi" w:hAnsiTheme="minorHAnsi" w:cstheme="minorHAnsi"/>
                <w:lang w:val="uk-UA"/>
              </w:rPr>
              <w:t xml:space="preserve">(586281-EPP-1-2017-1-EE-EPPKA2-CBHE-JP) </w:t>
            </w:r>
            <w:r w:rsidR="004F7362">
              <w:rPr>
                <w:rFonts w:asciiTheme="minorHAnsi" w:hAnsiTheme="minorHAnsi" w:cstheme="minorHAnsi"/>
                <w:lang w:val="uk-UA"/>
              </w:rPr>
              <w:t>Координатор проекту:</w:t>
            </w:r>
            <w:r w:rsidRPr="00A06500">
              <w:rPr>
                <w:rFonts w:asciiTheme="minorHAnsi" w:hAnsiTheme="minorHAnsi" w:cstheme="minorHAnsi"/>
                <w:lang w:val="uk-UA"/>
              </w:rPr>
              <w:t xml:space="preserve"> Університет м.</w:t>
            </w:r>
            <w:r w:rsidR="004F7362">
              <w:rPr>
                <w:rFonts w:asciiTheme="minorHAnsi" w:hAnsiTheme="minorHAnsi" w:cstheme="minorHAnsi"/>
                <w:lang w:val="uk-UA"/>
              </w:rPr>
              <w:t xml:space="preserve"> </w:t>
            </w:r>
            <w:r w:rsidRPr="00A06500">
              <w:rPr>
                <w:rFonts w:asciiTheme="minorHAnsi" w:hAnsiTheme="minorHAnsi" w:cstheme="minorHAnsi"/>
                <w:lang w:val="uk-UA"/>
              </w:rPr>
              <w:t>Тарту</w:t>
            </w:r>
            <w:r w:rsidR="004F7362">
              <w:rPr>
                <w:rFonts w:asciiTheme="minorHAnsi" w:hAnsiTheme="minorHAnsi" w:cstheme="minorHAnsi"/>
                <w:lang w:val="uk-UA"/>
              </w:rPr>
              <w:t xml:space="preserve"> (Естонія)- координатор проекту.</w:t>
            </w:r>
          </w:p>
          <w:p w:rsidR="00A66078" w:rsidRDefault="00A66078" w:rsidP="005523E4">
            <w:pPr>
              <w:pStyle w:val="Default"/>
              <w:spacing w:line="276" w:lineRule="auto"/>
              <w:ind w:firstLine="288"/>
              <w:jc w:val="both"/>
              <w:rPr>
                <w:rFonts w:asciiTheme="minorHAnsi" w:hAnsiTheme="minorHAnsi" w:cstheme="minorHAnsi"/>
                <w:lang w:val="uk-UA"/>
              </w:rPr>
            </w:pPr>
            <w:r>
              <w:rPr>
                <w:rFonts w:asciiTheme="minorHAnsi" w:hAnsiTheme="minorHAnsi" w:cstheme="minorHAnsi"/>
                <w:lang w:val="uk-UA"/>
              </w:rPr>
              <w:t xml:space="preserve">На кафедрі у 2014-2017 рр. реалізувався проект у рамках Програми ім. Жана Моне </w:t>
            </w:r>
            <w:proofErr w:type="spellStart"/>
            <w:r>
              <w:rPr>
                <w:rFonts w:asciiTheme="minorHAnsi" w:hAnsiTheme="minorHAnsi" w:cstheme="minorHAnsi"/>
                <w:lang w:val="uk-UA"/>
              </w:rPr>
              <w:t>Еразмус</w:t>
            </w:r>
            <w:proofErr w:type="spellEnd"/>
            <w:r>
              <w:rPr>
                <w:rFonts w:asciiTheme="minorHAnsi" w:hAnsiTheme="minorHAnsi" w:cstheme="minorHAnsi"/>
                <w:lang w:val="uk-UA"/>
              </w:rPr>
              <w:t xml:space="preserve">+ </w:t>
            </w:r>
            <w:r w:rsidRPr="00A66078">
              <w:rPr>
                <w:rFonts w:asciiTheme="minorHAnsi" w:hAnsiTheme="minorHAnsi" w:cstheme="minorHAnsi"/>
                <w:lang w:val="uk-UA"/>
              </w:rPr>
              <w:t>на викладання навчального магістерського курсу «</w:t>
            </w:r>
            <w:proofErr w:type="spellStart"/>
            <w:r w:rsidRPr="00A66078">
              <w:rPr>
                <w:rFonts w:asciiTheme="minorHAnsi" w:hAnsiTheme="minorHAnsi" w:cstheme="minorHAnsi"/>
                <w:lang w:val="uk-UA"/>
              </w:rPr>
              <w:t>Субнаціональний</w:t>
            </w:r>
            <w:proofErr w:type="spellEnd"/>
            <w:r w:rsidRPr="00A66078">
              <w:rPr>
                <w:rFonts w:asciiTheme="minorHAnsi" w:hAnsiTheme="minorHAnsi" w:cstheme="minorHAnsi"/>
                <w:lang w:val="uk-UA"/>
              </w:rPr>
              <w:t xml:space="preserve"> вимір ЄС»</w:t>
            </w:r>
            <w:r>
              <w:rPr>
                <w:rFonts w:asciiTheme="minorHAnsi" w:hAnsiTheme="minorHAnsi" w:cstheme="minorHAnsi"/>
                <w:lang w:val="uk-UA"/>
              </w:rPr>
              <w:t xml:space="preserve">. Курс став частиною освітньої програми. </w:t>
            </w:r>
          </w:p>
          <w:p w:rsidR="00D719CC" w:rsidRPr="00A06500" w:rsidRDefault="00A66078" w:rsidP="00A66078">
            <w:pPr>
              <w:pStyle w:val="Default"/>
              <w:spacing w:line="276" w:lineRule="auto"/>
              <w:jc w:val="both"/>
              <w:rPr>
                <w:rFonts w:asciiTheme="minorHAnsi" w:hAnsiTheme="minorHAnsi" w:cstheme="minorHAnsi"/>
                <w:lang w:val="uk-UA"/>
              </w:rPr>
            </w:pPr>
            <w:r>
              <w:rPr>
                <w:rFonts w:asciiTheme="minorHAnsi" w:hAnsiTheme="minorHAnsi" w:cstheme="minorHAnsi"/>
                <w:lang w:val="uk-UA"/>
              </w:rPr>
              <w:t xml:space="preserve">   Сьогодні кафедра залучена у створення </w:t>
            </w:r>
            <w:r w:rsidRPr="00A66078">
              <w:rPr>
                <w:rFonts w:asciiTheme="minorHAnsi" w:hAnsiTheme="minorHAnsi" w:cstheme="minorHAnsi"/>
                <w:lang w:val="uk-UA"/>
              </w:rPr>
              <w:t>Центру досконалості ім. Жана Моне “Західноукраїнський дослідницький центр з європейських студій”</w:t>
            </w:r>
          </w:p>
          <w:p w:rsidR="00D719CC" w:rsidRPr="00A66078" w:rsidRDefault="00D719CC" w:rsidP="00A66078">
            <w:pPr>
              <w:pStyle w:val="Default"/>
              <w:spacing w:line="276" w:lineRule="auto"/>
              <w:ind w:firstLine="288"/>
              <w:jc w:val="both"/>
              <w:rPr>
                <w:rFonts w:asciiTheme="minorHAnsi" w:hAnsiTheme="minorHAnsi" w:cstheme="minorHAnsi"/>
                <w:lang w:val="uk-UA"/>
              </w:rPr>
            </w:pPr>
            <w:r w:rsidRPr="00A06500">
              <w:rPr>
                <w:rFonts w:asciiTheme="minorHAnsi" w:hAnsiTheme="minorHAnsi" w:cstheme="minorHAnsi"/>
                <w:lang w:val="uk-UA"/>
              </w:rPr>
              <w:t>Викладачі кафедри проходять стажування та читають лекції за кордоном, беруть участь у міжнародних конференціях. Зокрема кафедра співпрацює з Варшавським, Вроцлавським,</w:t>
            </w:r>
            <w:r w:rsidR="004F7362">
              <w:rPr>
                <w:rFonts w:asciiTheme="minorHAnsi" w:hAnsiTheme="minorHAnsi" w:cstheme="minorHAnsi"/>
                <w:lang w:val="uk-UA"/>
              </w:rPr>
              <w:t xml:space="preserve"> Люблінським, Познанським, Гданським,</w:t>
            </w:r>
            <w:r w:rsidRPr="00A06500">
              <w:rPr>
                <w:rFonts w:asciiTheme="minorHAnsi" w:hAnsiTheme="minorHAnsi" w:cstheme="minorHAnsi"/>
                <w:lang w:val="uk-UA"/>
              </w:rPr>
              <w:t xml:space="preserve"> </w:t>
            </w:r>
            <w:proofErr w:type="spellStart"/>
            <w:r w:rsidRPr="00A06500">
              <w:rPr>
                <w:rFonts w:asciiTheme="minorHAnsi" w:hAnsiTheme="minorHAnsi" w:cstheme="minorHAnsi"/>
                <w:lang w:val="uk-UA"/>
              </w:rPr>
              <w:t>Ягеллонським</w:t>
            </w:r>
            <w:proofErr w:type="spellEnd"/>
            <w:r w:rsidRPr="00A06500">
              <w:rPr>
                <w:rFonts w:asciiTheme="minorHAnsi" w:hAnsiTheme="minorHAnsi" w:cstheme="minorHAnsi"/>
                <w:lang w:val="uk-UA"/>
              </w:rPr>
              <w:t xml:space="preserve"> та </w:t>
            </w:r>
            <w:proofErr w:type="spellStart"/>
            <w:r w:rsidRPr="00A06500">
              <w:rPr>
                <w:rFonts w:asciiTheme="minorHAnsi" w:hAnsiTheme="minorHAnsi" w:cstheme="minorHAnsi"/>
                <w:lang w:val="uk-UA"/>
              </w:rPr>
              <w:t>Жешівським</w:t>
            </w:r>
            <w:proofErr w:type="spellEnd"/>
            <w:r w:rsidRPr="00A06500">
              <w:rPr>
                <w:rFonts w:asciiTheme="minorHAnsi" w:hAnsiTheme="minorHAnsi" w:cstheme="minorHAnsi"/>
                <w:lang w:val="uk-UA"/>
              </w:rPr>
              <w:t xml:space="preserve"> університетами (Польща);</w:t>
            </w:r>
            <w:r w:rsidR="004F7362">
              <w:rPr>
                <w:rFonts w:asciiTheme="minorHAnsi" w:hAnsiTheme="minorHAnsi" w:cstheme="minorHAnsi"/>
                <w:color w:val="FF0000"/>
                <w:lang w:val="uk-UA"/>
              </w:rPr>
              <w:t xml:space="preserve"> </w:t>
            </w:r>
            <w:r w:rsidR="004F7362" w:rsidRPr="004F7362">
              <w:rPr>
                <w:rFonts w:asciiTheme="minorHAnsi" w:hAnsiTheme="minorHAnsi" w:cstheme="minorHAnsi"/>
                <w:color w:val="auto"/>
                <w:lang w:val="uk-UA"/>
              </w:rPr>
              <w:t>Болонським університетом (Італія); Загребським уніве</w:t>
            </w:r>
            <w:r w:rsidR="004F7362">
              <w:rPr>
                <w:rFonts w:asciiTheme="minorHAnsi" w:hAnsiTheme="minorHAnsi" w:cstheme="minorHAnsi"/>
                <w:color w:val="auto"/>
                <w:lang w:val="uk-UA"/>
              </w:rPr>
              <w:t>рситетом (Хорватія)</w:t>
            </w:r>
            <w:r w:rsidR="00A66078">
              <w:rPr>
                <w:rFonts w:asciiTheme="minorHAnsi" w:hAnsiTheme="minorHAnsi" w:cstheme="minorHAnsi"/>
                <w:color w:val="auto"/>
                <w:lang w:val="uk-UA"/>
              </w:rPr>
              <w:t>;</w:t>
            </w:r>
            <w:r w:rsidR="004F7362" w:rsidRPr="004F7362">
              <w:rPr>
                <w:rFonts w:asciiTheme="minorHAnsi" w:hAnsiTheme="minorHAnsi" w:cstheme="minorHAnsi"/>
                <w:color w:val="auto"/>
                <w:lang w:val="uk-UA"/>
              </w:rPr>
              <w:t xml:space="preserve"> </w:t>
            </w:r>
            <w:r w:rsidR="00A66078" w:rsidRPr="00A66078">
              <w:rPr>
                <w:rFonts w:asciiTheme="minorHAnsi" w:hAnsiTheme="minorHAnsi" w:cstheme="minorHAnsi"/>
                <w:color w:val="auto"/>
                <w:lang w:val="uk-UA"/>
              </w:rPr>
              <w:t xml:space="preserve">Близькосхідний технічний університет </w:t>
            </w:r>
            <w:r w:rsidR="00A66078">
              <w:rPr>
                <w:rFonts w:asciiTheme="minorHAnsi" w:hAnsiTheme="minorHAnsi" w:cstheme="minorHAnsi"/>
                <w:color w:val="auto"/>
                <w:lang w:val="en-US"/>
              </w:rPr>
              <w:t>(</w:t>
            </w:r>
            <w:r w:rsidR="00A66078">
              <w:rPr>
                <w:rFonts w:asciiTheme="minorHAnsi" w:hAnsiTheme="minorHAnsi" w:cstheme="minorHAnsi"/>
                <w:color w:val="auto"/>
                <w:lang w:val="uk-UA"/>
              </w:rPr>
              <w:t>Туреччина</w:t>
            </w:r>
            <w:r w:rsidR="00A66078">
              <w:rPr>
                <w:rFonts w:asciiTheme="minorHAnsi" w:hAnsiTheme="minorHAnsi" w:cstheme="minorHAnsi"/>
                <w:color w:val="auto"/>
                <w:lang w:val="en-US"/>
              </w:rPr>
              <w:t>)</w:t>
            </w:r>
            <w:r w:rsidR="00A66078">
              <w:rPr>
                <w:rFonts w:asciiTheme="minorHAnsi" w:hAnsiTheme="minorHAnsi" w:cstheme="minorHAnsi"/>
                <w:color w:val="auto"/>
                <w:lang w:val="uk-UA"/>
              </w:rPr>
              <w:t>; Віденський університет (Австрія);</w:t>
            </w:r>
            <w:r w:rsidR="00A66078">
              <w:rPr>
                <w:rFonts w:asciiTheme="minorHAnsi" w:hAnsiTheme="minorHAnsi" w:cstheme="minorHAnsi"/>
                <w:color w:val="auto"/>
                <w:lang w:val="en-US"/>
              </w:rPr>
              <w:t xml:space="preserve"> </w:t>
            </w:r>
            <w:proofErr w:type="spellStart"/>
            <w:r w:rsidR="00A66078">
              <w:rPr>
                <w:rFonts w:asciiTheme="minorHAnsi" w:hAnsiTheme="minorHAnsi" w:cstheme="minorHAnsi"/>
                <w:color w:val="auto"/>
                <w:lang w:val="en-US"/>
              </w:rPr>
              <w:t>Бард</w:t>
            </w:r>
            <w:proofErr w:type="spellEnd"/>
            <w:r w:rsidR="00A66078">
              <w:rPr>
                <w:rFonts w:asciiTheme="minorHAnsi" w:hAnsiTheme="minorHAnsi" w:cstheme="minorHAnsi"/>
                <w:color w:val="auto"/>
                <w:lang w:val="en-US"/>
              </w:rPr>
              <w:t xml:space="preserve"> </w:t>
            </w:r>
            <w:proofErr w:type="spellStart"/>
            <w:r w:rsidR="00A66078">
              <w:rPr>
                <w:rFonts w:asciiTheme="minorHAnsi" w:hAnsiTheme="minorHAnsi" w:cstheme="minorHAnsi"/>
                <w:color w:val="auto"/>
                <w:lang w:val="en-US"/>
              </w:rPr>
              <w:t>коледж</w:t>
            </w:r>
            <w:proofErr w:type="spellEnd"/>
            <w:r w:rsidR="00A66078">
              <w:rPr>
                <w:rFonts w:asciiTheme="minorHAnsi" w:hAnsiTheme="minorHAnsi" w:cstheme="minorHAnsi"/>
                <w:color w:val="auto"/>
                <w:lang w:val="uk-UA"/>
              </w:rPr>
              <w:t>і</w:t>
            </w:r>
            <w:r w:rsidR="00A66078" w:rsidRPr="00A66078">
              <w:rPr>
                <w:rFonts w:asciiTheme="minorHAnsi" w:hAnsiTheme="minorHAnsi" w:cstheme="minorHAnsi"/>
                <w:color w:val="auto"/>
                <w:lang w:val="en-US"/>
              </w:rPr>
              <w:t xml:space="preserve"> </w:t>
            </w:r>
            <w:proofErr w:type="spellStart"/>
            <w:r w:rsidR="00A66078" w:rsidRPr="00A66078">
              <w:rPr>
                <w:rFonts w:asciiTheme="minorHAnsi" w:hAnsiTheme="minorHAnsi" w:cstheme="minorHAnsi"/>
                <w:color w:val="auto"/>
                <w:lang w:val="en-US"/>
              </w:rPr>
              <w:t>при</w:t>
            </w:r>
            <w:proofErr w:type="spellEnd"/>
            <w:r w:rsidR="00A66078" w:rsidRPr="00A66078">
              <w:rPr>
                <w:rFonts w:asciiTheme="minorHAnsi" w:hAnsiTheme="minorHAnsi" w:cstheme="minorHAnsi"/>
                <w:color w:val="auto"/>
                <w:lang w:val="en-US"/>
              </w:rPr>
              <w:t xml:space="preserve"> </w:t>
            </w:r>
            <w:proofErr w:type="spellStart"/>
            <w:r w:rsidR="00A66078" w:rsidRPr="00A66078">
              <w:rPr>
                <w:rFonts w:asciiTheme="minorHAnsi" w:hAnsiTheme="minorHAnsi" w:cstheme="minorHAnsi"/>
                <w:color w:val="auto"/>
                <w:lang w:val="en-US"/>
              </w:rPr>
              <w:t>Університеті</w:t>
            </w:r>
            <w:proofErr w:type="spellEnd"/>
            <w:r w:rsidR="00A66078" w:rsidRPr="00A66078">
              <w:rPr>
                <w:rFonts w:asciiTheme="minorHAnsi" w:hAnsiTheme="minorHAnsi" w:cstheme="minorHAnsi"/>
                <w:color w:val="auto"/>
                <w:lang w:val="en-US"/>
              </w:rPr>
              <w:t xml:space="preserve"> </w:t>
            </w:r>
            <w:proofErr w:type="spellStart"/>
            <w:r w:rsidR="00A66078" w:rsidRPr="00A66078">
              <w:rPr>
                <w:rFonts w:asciiTheme="minorHAnsi" w:hAnsiTheme="minorHAnsi" w:cstheme="minorHAnsi"/>
                <w:color w:val="auto"/>
                <w:lang w:val="en-US"/>
              </w:rPr>
              <w:t>штату</w:t>
            </w:r>
            <w:proofErr w:type="spellEnd"/>
            <w:r w:rsidR="00A66078" w:rsidRPr="00A66078">
              <w:rPr>
                <w:rFonts w:asciiTheme="minorHAnsi" w:hAnsiTheme="minorHAnsi" w:cstheme="minorHAnsi"/>
                <w:color w:val="auto"/>
                <w:lang w:val="en-US"/>
              </w:rPr>
              <w:t xml:space="preserve"> </w:t>
            </w:r>
            <w:proofErr w:type="spellStart"/>
            <w:r w:rsidR="00A66078" w:rsidRPr="00A66078">
              <w:rPr>
                <w:rFonts w:asciiTheme="minorHAnsi" w:hAnsiTheme="minorHAnsi" w:cstheme="minorHAnsi"/>
                <w:color w:val="auto"/>
                <w:lang w:val="en-US"/>
              </w:rPr>
              <w:t>Нью-Йорк</w:t>
            </w:r>
            <w:proofErr w:type="spellEnd"/>
            <w:r w:rsidR="00A66078">
              <w:rPr>
                <w:rFonts w:asciiTheme="minorHAnsi" w:hAnsiTheme="minorHAnsi" w:cstheme="minorHAnsi"/>
                <w:color w:val="auto"/>
                <w:lang w:val="uk-UA"/>
              </w:rPr>
              <w:t>,</w:t>
            </w:r>
            <w:r w:rsidR="00A66078" w:rsidRPr="00A66078">
              <w:rPr>
                <w:rFonts w:asciiTheme="minorHAnsi" w:hAnsiTheme="minorHAnsi" w:cstheme="minorHAnsi"/>
                <w:color w:val="auto"/>
                <w:lang w:val="en-US"/>
              </w:rPr>
              <w:t xml:space="preserve"> </w:t>
            </w:r>
            <w:r w:rsidR="00A66078">
              <w:rPr>
                <w:rFonts w:asciiTheme="minorHAnsi" w:hAnsiTheme="minorHAnsi" w:cstheme="minorHAnsi"/>
                <w:color w:val="auto"/>
                <w:lang w:val="uk-UA"/>
              </w:rPr>
              <w:t xml:space="preserve">Сіракузький університет, Інститут </w:t>
            </w:r>
            <w:proofErr w:type="spellStart"/>
            <w:r w:rsidR="00A66078">
              <w:rPr>
                <w:rFonts w:asciiTheme="minorHAnsi" w:hAnsiTheme="minorHAnsi" w:cstheme="minorHAnsi"/>
                <w:color w:val="auto"/>
                <w:lang w:val="uk-UA"/>
              </w:rPr>
              <w:t>Кеннана</w:t>
            </w:r>
            <w:proofErr w:type="spellEnd"/>
            <w:r w:rsidR="00A66078">
              <w:rPr>
                <w:rFonts w:asciiTheme="minorHAnsi" w:hAnsiTheme="minorHAnsi" w:cstheme="minorHAnsi"/>
                <w:color w:val="auto"/>
                <w:lang w:val="uk-UA"/>
              </w:rPr>
              <w:t xml:space="preserve"> Центру ім. </w:t>
            </w:r>
            <w:proofErr w:type="spellStart"/>
            <w:r w:rsidR="00A66078">
              <w:rPr>
                <w:rFonts w:asciiTheme="minorHAnsi" w:hAnsiTheme="minorHAnsi" w:cstheme="minorHAnsi"/>
                <w:color w:val="auto"/>
                <w:lang w:val="uk-UA"/>
              </w:rPr>
              <w:t>Вудро</w:t>
            </w:r>
            <w:proofErr w:type="spellEnd"/>
            <w:r w:rsidR="00A66078">
              <w:rPr>
                <w:rFonts w:asciiTheme="minorHAnsi" w:hAnsiTheme="minorHAnsi" w:cstheme="minorHAnsi"/>
                <w:color w:val="auto"/>
                <w:lang w:val="uk-UA"/>
              </w:rPr>
              <w:t xml:space="preserve"> Вільсона у Вашингтоні, </w:t>
            </w:r>
            <w:r w:rsidR="004F7362" w:rsidRPr="004F7362">
              <w:rPr>
                <w:rFonts w:asciiTheme="minorHAnsi" w:hAnsiTheme="minorHAnsi" w:cstheme="minorHAnsi"/>
                <w:color w:val="auto"/>
                <w:lang w:val="uk-UA"/>
              </w:rPr>
              <w:t xml:space="preserve">Університету </w:t>
            </w:r>
            <w:r w:rsidR="00A66078">
              <w:rPr>
                <w:rFonts w:asciiTheme="minorHAnsi" w:hAnsiTheme="minorHAnsi" w:cstheme="minorHAnsi"/>
                <w:color w:val="auto"/>
                <w:lang w:val="uk-UA"/>
              </w:rPr>
              <w:t xml:space="preserve">ім. </w:t>
            </w:r>
            <w:r w:rsidR="004F7362" w:rsidRPr="004F7362">
              <w:rPr>
                <w:rFonts w:asciiTheme="minorHAnsi" w:hAnsiTheme="minorHAnsi" w:cstheme="minorHAnsi"/>
                <w:color w:val="auto"/>
                <w:lang w:val="uk-UA"/>
              </w:rPr>
              <w:t xml:space="preserve">Джорджа </w:t>
            </w:r>
            <w:proofErr w:type="spellStart"/>
            <w:r w:rsidR="004F7362" w:rsidRPr="004F7362">
              <w:rPr>
                <w:rFonts w:asciiTheme="minorHAnsi" w:hAnsiTheme="minorHAnsi" w:cstheme="minorHAnsi"/>
                <w:color w:val="auto"/>
                <w:lang w:val="uk-UA"/>
              </w:rPr>
              <w:t>Вашингтона</w:t>
            </w:r>
            <w:proofErr w:type="spellEnd"/>
            <w:r w:rsidR="004F7362" w:rsidRPr="004F7362">
              <w:rPr>
                <w:rFonts w:asciiTheme="minorHAnsi" w:hAnsiTheme="minorHAnsi" w:cstheme="minorHAnsi"/>
                <w:color w:val="auto"/>
                <w:lang w:val="uk-UA"/>
              </w:rPr>
              <w:t xml:space="preserve"> (США)</w:t>
            </w:r>
            <w:r w:rsidR="00A66078">
              <w:rPr>
                <w:rFonts w:asciiTheme="minorHAnsi" w:hAnsiTheme="minorHAnsi" w:cstheme="minorHAnsi"/>
                <w:color w:val="auto"/>
                <w:lang w:val="uk-UA"/>
              </w:rPr>
              <w:t xml:space="preserve">; </w:t>
            </w:r>
            <w:proofErr w:type="spellStart"/>
            <w:r w:rsidR="00A66078">
              <w:rPr>
                <w:rFonts w:asciiTheme="minorHAnsi" w:hAnsiTheme="minorHAnsi" w:cstheme="minorHAnsi"/>
                <w:color w:val="auto"/>
                <w:lang w:val="uk-UA"/>
              </w:rPr>
              <w:t>Нортумбрійський</w:t>
            </w:r>
            <w:proofErr w:type="spellEnd"/>
            <w:r w:rsidR="00A66078">
              <w:rPr>
                <w:rFonts w:asciiTheme="minorHAnsi" w:hAnsiTheme="minorHAnsi" w:cstheme="minorHAnsi"/>
                <w:color w:val="auto"/>
                <w:lang w:val="uk-UA"/>
              </w:rPr>
              <w:t xml:space="preserve"> університет (Велика Британія); </w:t>
            </w:r>
            <w:r w:rsidR="00A66078" w:rsidRPr="00A66078">
              <w:rPr>
                <w:rFonts w:asciiTheme="minorHAnsi" w:hAnsiTheme="minorHAnsi" w:cstheme="minorHAnsi"/>
                <w:color w:val="auto"/>
                <w:lang w:val="uk-UA"/>
              </w:rPr>
              <w:t>Женевськ</w:t>
            </w:r>
            <w:r w:rsidR="00A66078">
              <w:rPr>
                <w:rFonts w:asciiTheme="minorHAnsi" w:hAnsiTheme="minorHAnsi" w:cstheme="minorHAnsi"/>
                <w:color w:val="auto"/>
                <w:lang w:val="uk-UA"/>
              </w:rPr>
              <w:t>ий Центр</w:t>
            </w:r>
            <w:r w:rsidR="00A66078" w:rsidRPr="00A66078">
              <w:rPr>
                <w:rFonts w:asciiTheme="minorHAnsi" w:hAnsiTheme="minorHAnsi" w:cstheme="minorHAnsi"/>
                <w:color w:val="auto"/>
                <w:lang w:val="uk-UA"/>
              </w:rPr>
              <w:t xml:space="preserve"> політики безпеки (Швейцарія</w:t>
            </w:r>
            <w:r w:rsidR="00A66078">
              <w:rPr>
                <w:rFonts w:asciiTheme="minorHAnsi" w:hAnsiTheme="minorHAnsi" w:cstheme="minorHAnsi"/>
                <w:color w:val="auto"/>
                <w:lang w:val="uk-UA"/>
              </w:rPr>
              <w:t>)</w:t>
            </w:r>
            <w:r w:rsidR="00A66078">
              <w:rPr>
                <w:rFonts w:asciiTheme="minorHAnsi" w:hAnsiTheme="minorHAnsi" w:cstheme="minorHAnsi"/>
                <w:color w:val="auto"/>
                <w:lang w:val="uk-UA"/>
              </w:rPr>
              <w:t xml:space="preserve">; Університет </w:t>
            </w:r>
            <w:proofErr w:type="spellStart"/>
            <w:r w:rsidR="00A66078">
              <w:rPr>
                <w:rFonts w:asciiTheme="minorHAnsi" w:hAnsiTheme="minorHAnsi" w:cstheme="minorHAnsi"/>
                <w:color w:val="auto"/>
                <w:lang w:val="uk-UA"/>
              </w:rPr>
              <w:t>Уппсала</w:t>
            </w:r>
            <w:proofErr w:type="spellEnd"/>
            <w:r w:rsidR="00A66078">
              <w:rPr>
                <w:rFonts w:asciiTheme="minorHAnsi" w:hAnsiTheme="minorHAnsi" w:cstheme="minorHAnsi"/>
                <w:color w:val="auto"/>
                <w:lang w:val="uk-UA"/>
              </w:rPr>
              <w:t xml:space="preserve"> (Швеція); </w:t>
            </w:r>
            <w:proofErr w:type="spellStart"/>
            <w:r w:rsidR="00A66078">
              <w:rPr>
                <w:rFonts w:asciiTheme="minorHAnsi" w:hAnsiTheme="minorHAnsi" w:cstheme="minorHAnsi"/>
                <w:color w:val="auto"/>
                <w:lang w:val="uk-UA"/>
              </w:rPr>
              <w:t>Торонтський</w:t>
            </w:r>
            <w:proofErr w:type="spellEnd"/>
            <w:r w:rsidR="00A66078">
              <w:rPr>
                <w:rFonts w:asciiTheme="minorHAnsi" w:hAnsiTheme="minorHAnsi" w:cstheme="minorHAnsi"/>
                <w:color w:val="auto"/>
                <w:lang w:val="uk-UA"/>
              </w:rPr>
              <w:t xml:space="preserve"> університет (Канада);</w:t>
            </w:r>
            <w:r w:rsidR="00A66078">
              <w:t xml:space="preserve"> </w:t>
            </w:r>
            <w:r w:rsidR="00A66078" w:rsidRPr="00A66078">
              <w:rPr>
                <w:rFonts w:asciiTheme="minorHAnsi" w:hAnsiTheme="minorHAnsi" w:cstheme="minorHAnsi"/>
                <w:color w:val="auto"/>
                <w:lang w:val="uk-UA"/>
              </w:rPr>
              <w:t xml:space="preserve">Університет </w:t>
            </w:r>
            <w:proofErr w:type="spellStart"/>
            <w:r w:rsidR="00A66078" w:rsidRPr="00A66078">
              <w:rPr>
                <w:rFonts w:asciiTheme="minorHAnsi" w:hAnsiTheme="minorHAnsi" w:cstheme="minorHAnsi"/>
                <w:color w:val="auto"/>
                <w:lang w:val="uk-UA"/>
              </w:rPr>
              <w:t>Гронінгена</w:t>
            </w:r>
            <w:proofErr w:type="spellEnd"/>
            <w:r w:rsidR="00A66078" w:rsidRPr="00A66078">
              <w:rPr>
                <w:rFonts w:asciiTheme="minorHAnsi" w:hAnsiTheme="minorHAnsi" w:cstheme="minorHAnsi"/>
                <w:color w:val="auto"/>
                <w:lang w:val="uk-UA"/>
              </w:rPr>
              <w:t xml:space="preserve"> </w:t>
            </w:r>
            <w:r w:rsidR="00A66078">
              <w:rPr>
                <w:rFonts w:asciiTheme="minorHAnsi" w:hAnsiTheme="minorHAnsi" w:cstheme="minorHAnsi"/>
                <w:color w:val="auto"/>
                <w:lang w:val="uk-UA"/>
              </w:rPr>
              <w:t xml:space="preserve">(Голландія); Центральноєвропейський університет (Угорщина); Тартуський університет (Естонія); </w:t>
            </w:r>
            <w:r w:rsidR="00A66078" w:rsidRPr="00A66078">
              <w:rPr>
                <w:rFonts w:asciiTheme="minorHAnsi" w:hAnsiTheme="minorHAnsi" w:cstheme="minorHAnsi"/>
                <w:color w:val="auto"/>
                <w:lang w:val="uk-UA"/>
              </w:rPr>
              <w:t xml:space="preserve">Університет імені Фрідріха </w:t>
            </w:r>
            <w:proofErr w:type="spellStart"/>
            <w:r w:rsidR="00A66078" w:rsidRPr="00A66078">
              <w:rPr>
                <w:rFonts w:asciiTheme="minorHAnsi" w:hAnsiTheme="minorHAnsi" w:cstheme="minorHAnsi"/>
                <w:color w:val="auto"/>
                <w:lang w:val="uk-UA"/>
              </w:rPr>
              <w:t>Шіллера</w:t>
            </w:r>
            <w:proofErr w:type="spellEnd"/>
            <w:r w:rsidR="00A66078" w:rsidRPr="00A66078">
              <w:rPr>
                <w:rFonts w:asciiTheme="minorHAnsi" w:hAnsiTheme="minorHAnsi" w:cstheme="minorHAnsi"/>
                <w:color w:val="auto"/>
                <w:lang w:val="uk-UA"/>
              </w:rPr>
              <w:t xml:space="preserve"> в Єні (</w:t>
            </w:r>
            <w:r w:rsidR="00A66078">
              <w:rPr>
                <w:rFonts w:asciiTheme="minorHAnsi" w:hAnsiTheme="minorHAnsi" w:cstheme="minorHAnsi"/>
                <w:color w:val="auto"/>
                <w:lang w:val="uk-UA"/>
              </w:rPr>
              <w:t>Німеччина);</w:t>
            </w:r>
            <w:r w:rsidR="00A66078">
              <w:t xml:space="preserve"> </w:t>
            </w:r>
            <w:r w:rsidR="00A66078" w:rsidRPr="00A66078">
              <w:rPr>
                <w:rFonts w:asciiTheme="minorHAnsi" w:hAnsiTheme="minorHAnsi" w:cstheme="minorHAnsi"/>
                <w:color w:val="auto"/>
                <w:lang w:val="uk-UA"/>
              </w:rPr>
              <w:t>Університеті Турку (Фінляндія</w:t>
            </w:r>
            <w:r w:rsidR="00A66078">
              <w:rPr>
                <w:rFonts w:asciiTheme="minorHAnsi" w:hAnsiTheme="minorHAnsi" w:cstheme="minorHAnsi"/>
                <w:color w:val="auto"/>
                <w:lang w:val="uk-UA"/>
              </w:rPr>
              <w:t>)</w:t>
            </w:r>
            <w:r w:rsidR="00A66078">
              <w:t xml:space="preserve"> </w:t>
            </w:r>
          </w:p>
        </w:tc>
      </w:tr>
      <w:tr w:rsidR="00D719CC" w:rsidRPr="00A06500" w:rsidTr="00D719CC">
        <w:tc>
          <w:tcPr>
            <w:tcW w:w="3683" w:type="dxa"/>
            <w:tcBorders>
              <w:top w:val="single" w:sz="4" w:space="0" w:color="000000"/>
              <w:left w:val="single" w:sz="4" w:space="0" w:color="000000"/>
              <w:bottom w:val="single" w:sz="4" w:space="0" w:color="000000"/>
              <w:right w:val="nil"/>
            </w:tcBorders>
          </w:tcPr>
          <w:p w:rsidR="00D719CC" w:rsidRPr="00A06500" w:rsidRDefault="00D719CC" w:rsidP="00D719CC">
            <w:pPr>
              <w:jc w:val="both"/>
              <w:rPr>
                <w:rFonts w:asciiTheme="minorHAnsi" w:hAnsiTheme="minorHAnsi" w:cstheme="minorHAnsi"/>
                <w:sz w:val="24"/>
                <w:szCs w:val="24"/>
                <w:lang w:val="uk-UA"/>
              </w:rPr>
            </w:pPr>
            <w:r w:rsidRPr="00A06500">
              <w:rPr>
                <w:rFonts w:asciiTheme="minorHAnsi" w:hAnsiTheme="minorHAnsi" w:cstheme="minorHAnsi"/>
                <w:b/>
                <w:sz w:val="24"/>
                <w:szCs w:val="24"/>
                <w:lang w:val="uk-UA"/>
              </w:rPr>
              <w:lastRenderedPageBreak/>
              <w:t>Навчання іноземних здобувачів вищої освіти</w:t>
            </w:r>
          </w:p>
        </w:tc>
        <w:tc>
          <w:tcPr>
            <w:tcW w:w="6241" w:type="dxa"/>
            <w:tcBorders>
              <w:top w:val="single" w:sz="4" w:space="0" w:color="000000"/>
              <w:left w:val="single" w:sz="4" w:space="0" w:color="000000"/>
              <w:bottom w:val="single" w:sz="4" w:space="0" w:color="000000"/>
              <w:right w:val="single" w:sz="4" w:space="0" w:color="000000"/>
            </w:tcBorders>
          </w:tcPr>
          <w:p w:rsidR="00D719CC" w:rsidRPr="00A06500" w:rsidRDefault="00D719CC" w:rsidP="007248B5">
            <w:pPr>
              <w:pStyle w:val="1"/>
              <w:shd w:val="clear" w:color="auto" w:fill="FFFFFF"/>
              <w:tabs>
                <w:tab w:val="left" w:pos="279"/>
              </w:tabs>
              <w:snapToGrid w:val="0"/>
              <w:spacing w:after="0" w:line="240" w:lineRule="auto"/>
              <w:ind w:left="0"/>
              <w:jc w:val="both"/>
              <w:textAlignment w:val="baseline"/>
              <w:rPr>
                <w:rFonts w:asciiTheme="minorHAnsi" w:hAnsiTheme="minorHAnsi" w:cstheme="minorHAnsi"/>
                <w:sz w:val="24"/>
                <w:szCs w:val="24"/>
                <w:lang w:val="uk-UA"/>
              </w:rPr>
            </w:pPr>
            <w:r w:rsidRPr="00A06500">
              <w:rPr>
                <w:rFonts w:asciiTheme="minorHAnsi" w:hAnsiTheme="minorHAnsi" w:cstheme="minorHAnsi"/>
                <w:sz w:val="24"/>
                <w:szCs w:val="24"/>
                <w:lang w:val="uk-UA"/>
              </w:rPr>
              <w:t xml:space="preserve">Навчання іноземних здобувачів вищої освіти здійснюється на загальних умовах з додатковою </w:t>
            </w:r>
            <w:r w:rsidR="007248B5" w:rsidRPr="00A06500">
              <w:rPr>
                <w:rFonts w:asciiTheme="minorHAnsi" w:hAnsiTheme="minorHAnsi" w:cstheme="minorHAnsi"/>
                <w:sz w:val="24"/>
                <w:szCs w:val="24"/>
                <w:lang w:val="uk-UA"/>
              </w:rPr>
              <w:t>лінгвістичною</w:t>
            </w:r>
            <w:r w:rsidRPr="00A06500">
              <w:rPr>
                <w:rFonts w:asciiTheme="minorHAnsi" w:hAnsiTheme="minorHAnsi" w:cstheme="minorHAnsi"/>
                <w:sz w:val="24"/>
                <w:szCs w:val="24"/>
                <w:lang w:val="uk-UA"/>
              </w:rPr>
              <w:t xml:space="preserve"> підготовкою. </w:t>
            </w:r>
          </w:p>
        </w:tc>
      </w:tr>
    </w:tbl>
    <w:p w:rsidR="00D719CC" w:rsidRPr="00A06500" w:rsidRDefault="00D719CC" w:rsidP="00D719CC">
      <w:pPr>
        <w:rPr>
          <w:rFonts w:asciiTheme="minorHAnsi" w:hAnsiTheme="minorHAnsi" w:cstheme="minorHAnsi"/>
          <w:sz w:val="24"/>
          <w:szCs w:val="24"/>
          <w:lang w:val="uk-UA"/>
        </w:rPr>
      </w:pPr>
    </w:p>
    <w:p w:rsidR="008D0E0B" w:rsidRDefault="008D0E0B" w:rsidP="001B65B2">
      <w:pPr>
        <w:rPr>
          <w:rFonts w:asciiTheme="minorHAnsi" w:hAnsiTheme="minorHAnsi" w:cstheme="minorHAnsi"/>
          <w:color w:val="000000"/>
          <w:sz w:val="24"/>
          <w:szCs w:val="24"/>
          <w:lang w:val="uk-UA"/>
        </w:rPr>
      </w:pPr>
    </w:p>
    <w:p w:rsidR="00A66078" w:rsidRDefault="00A66078" w:rsidP="001B65B2">
      <w:pPr>
        <w:rPr>
          <w:rFonts w:asciiTheme="minorHAnsi" w:hAnsiTheme="minorHAnsi" w:cstheme="minorHAnsi"/>
          <w:color w:val="000000"/>
          <w:sz w:val="24"/>
          <w:szCs w:val="24"/>
          <w:lang w:val="uk-UA"/>
        </w:rPr>
      </w:pPr>
    </w:p>
    <w:p w:rsidR="00A66078" w:rsidRDefault="00A66078" w:rsidP="001B65B2">
      <w:pPr>
        <w:rPr>
          <w:rFonts w:asciiTheme="minorHAnsi" w:hAnsiTheme="minorHAnsi" w:cstheme="minorHAnsi"/>
          <w:color w:val="000000"/>
          <w:sz w:val="24"/>
          <w:szCs w:val="24"/>
          <w:lang w:val="uk-UA"/>
        </w:rPr>
      </w:pPr>
    </w:p>
    <w:p w:rsidR="00A66078" w:rsidRDefault="00A66078" w:rsidP="001B65B2">
      <w:pPr>
        <w:rPr>
          <w:rFonts w:asciiTheme="minorHAnsi" w:hAnsiTheme="minorHAnsi" w:cstheme="minorHAnsi"/>
          <w:color w:val="000000"/>
          <w:sz w:val="24"/>
          <w:szCs w:val="24"/>
          <w:lang w:val="uk-UA"/>
        </w:rPr>
      </w:pPr>
    </w:p>
    <w:p w:rsidR="00A66078" w:rsidRDefault="00A66078" w:rsidP="001B65B2">
      <w:pPr>
        <w:rPr>
          <w:rFonts w:asciiTheme="minorHAnsi" w:hAnsiTheme="minorHAnsi" w:cstheme="minorHAnsi"/>
          <w:color w:val="000000"/>
          <w:sz w:val="24"/>
          <w:szCs w:val="24"/>
          <w:lang w:val="uk-UA"/>
        </w:rPr>
      </w:pPr>
    </w:p>
    <w:p w:rsidR="00A66078" w:rsidRDefault="00A66078" w:rsidP="001B65B2">
      <w:pPr>
        <w:rPr>
          <w:rFonts w:asciiTheme="minorHAnsi" w:hAnsiTheme="minorHAnsi" w:cstheme="minorHAnsi"/>
          <w:color w:val="000000"/>
          <w:sz w:val="24"/>
          <w:szCs w:val="24"/>
          <w:lang w:val="uk-UA"/>
        </w:rPr>
      </w:pPr>
    </w:p>
    <w:p w:rsidR="00A66078" w:rsidRPr="00A06500" w:rsidRDefault="00A66078" w:rsidP="001B65B2">
      <w:pPr>
        <w:rPr>
          <w:rFonts w:asciiTheme="minorHAnsi" w:hAnsiTheme="minorHAnsi" w:cstheme="minorHAnsi"/>
          <w:color w:val="000000"/>
          <w:sz w:val="24"/>
          <w:szCs w:val="24"/>
          <w:lang w:val="uk-UA"/>
        </w:rPr>
      </w:pPr>
    </w:p>
    <w:p w:rsidR="004F7362" w:rsidRDefault="004F7362" w:rsidP="00A06500">
      <w:pPr>
        <w:jc w:val="center"/>
        <w:rPr>
          <w:rFonts w:asciiTheme="minorHAnsi" w:hAnsiTheme="minorHAnsi"/>
          <w:b/>
          <w:sz w:val="22"/>
          <w:szCs w:val="22"/>
          <w:lang w:val="uk-UA"/>
        </w:rPr>
      </w:pPr>
    </w:p>
    <w:p w:rsidR="00A06500" w:rsidRPr="00A06500" w:rsidRDefault="00A06500" w:rsidP="00A06500">
      <w:pPr>
        <w:jc w:val="center"/>
        <w:rPr>
          <w:rFonts w:asciiTheme="minorHAnsi" w:hAnsiTheme="minorHAnsi"/>
          <w:b/>
          <w:sz w:val="22"/>
          <w:szCs w:val="22"/>
          <w:lang w:val="uk-UA"/>
        </w:rPr>
      </w:pPr>
      <w:r w:rsidRPr="00A06500">
        <w:rPr>
          <w:rFonts w:asciiTheme="minorHAnsi" w:hAnsiTheme="minorHAnsi"/>
          <w:b/>
          <w:sz w:val="22"/>
          <w:szCs w:val="22"/>
          <w:lang w:val="uk-UA"/>
        </w:rPr>
        <w:lastRenderedPageBreak/>
        <w:t>2. Перелік компонент освітньо-професійної програми та їх логічна послідовність</w:t>
      </w:r>
    </w:p>
    <w:p w:rsidR="00A06500" w:rsidRPr="00A06500" w:rsidRDefault="00A06500" w:rsidP="00A06500">
      <w:pPr>
        <w:jc w:val="center"/>
        <w:rPr>
          <w:rFonts w:asciiTheme="minorHAnsi" w:hAnsiTheme="minorHAnsi"/>
          <w:b/>
          <w:sz w:val="22"/>
          <w:szCs w:val="22"/>
          <w:lang w:val="uk-UA"/>
        </w:rPr>
      </w:pPr>
    </w:p>
    <w:p w:rsidR="00A06500" w:rsidRPr="00A06500" w:rsidRDefault="00A06500" w:rsidP="00A06500">
      <w:pPr>
        <w:jc w:val="center"/>
        <w:rPr>
          <w:rFonts w:asciiTheme="minorHAnsi" w:hAnsiTheme="minorHAnsi"/>
          <w:b/>
          <w:sz w:val="22"/>
          <w:szCs w:val="22"/>
          <w:lang w:val="uk-UA"/>
        </w:rPr>
      </w:pPr>
      <w:r w:rsidRPr="00A06500">
        <w:rPr>
          <w:rFonts w:asciiTheme="minorHAnsi" w:hAnsiTheme="minorHAnsi"/>
          <w:b/>
          <w:sz w:val="22"/>
          <w:szCs w:val="22"/>
          <w:lang w:val="uk-UA"/>
        </w:rPr>
        <w:t>2.1. Перелік компонент ОП</w:t>
      </w:r>
    </w:p>
    <w:p w:rsidR="00A06500" w:rsidRPr="00A06500" w:rsidRDefault="00A06500" w:rsidP="00A06500">
      <w:pPr>
        <w:jc w:val="center"/>
        <w:rPr>
          <w:rFonts w:asciiTheme="minorHAnsi" w:hAnsiTheme="minorHAnsi"/>
          <w:b/>
          <w:sz w:val="22"/>
          <w:szCs w:val="22"/>
          <w:lang w:val="uk-UA"/>
        </w:rPr>
      </w:pPr>
    </w:p>
    <w:tbl>
      <w:tblPr>
        <w:tblW w:w="9915" w:type="dxa"/>
        <w:tblInd w:w="-30" w:type="dxa"/>
        <w:tblLayout w:type="fixed"/>
        <w:tblLook w:val="04A0" w:firstRow="1" w:lastRow="0" w:firstColumn="1" w:lastColumn="0" w:noHBand="0" w:noVBand="1"/>
      </w:tblPr>
      <w:tblGrid>
        <w:gridCol w:w="1414"/>
        <w:gridCol w:w="4952"/>
        <w:gridCol w:w="1667"/>
        <w:gridCol w:w="1826"/>
        <w:gridCol w:w="40"/>
        <w:gridCol w:w="16"/>
      </w:tblGrid>
      <w:tr w:rsidR="00A06500" w:rsidRPr="00A06500" w:rsidTr="009A573B">
        <w:tc>
          <w:tcPr>
            <w:tcW w:w="1414"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Код н/д</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Компоненти освітньої програми (навчальні дисципліни, курсові проекти, практики, кваліфікаційна робота</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Кількість кредитів</w:t>
            </w:r>
          </w:p>
        </w:tc>
        <w:tc>
          <w:tcPr>
            <w:tcW w:w="1882" w:type="dxa"/>
            <w:gridSpan w:val="3"/>
            <w:tcBorders>
              <w:top w:val="single" w:sz="4" w:space="0" w:color="000000"/>
              <w:left w:val="single" w:sz="4" w:space="0" w:color="000000"/>
              <w:bottom w:val="single" w:sz="4" w:space="0" w:color="000000"/>
              <w:right w:val="single" w:sz="4" w:space="0" w:color="000000"/>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Форма підсумкового</w:t>
            </w:r>
          </w:p>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контролю</w:t>
            </w: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1</w:t>
            </w:r>
          </w:p>
        </w:tc>
        <w:tc>
          <w:tcPr>
            <w:tcW w:w="4952" w:type="dxa"/>
            <w:tcBorders>
              <w:top w:val="single" w:sz="4" w:space="0" w:color="000000"/>
              <w:left w:val="single" w:sz="4" w:space="0" w:color="000000"/>
              <w:bottom w:val="single" w:sz="4" w:space="0" w:color="000000"/>
              <w:right w:val="nil"/>
            </w:tcBorders>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2</w:t>
            </w:r>
          </w:p>
        </w:tc>
        <w:tc>
          <w:tcPr>
            <w:tcW w:w="1667" w:type="dxa"/>
            <w:tcBorders>
              <w:top w:val="single" w:sz="4" w:space="0" w:color="000000"/>
              <w:left w:val="single" w:sz="4" w:space="0" w:color="000000"/>
              <w:bottom w:val="single" w:sz="4" w:space="0" w:color="000000"/>
              <w:right w:val="nil"/>
            </w:tcBorders>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4</w:t>
            </w:r>
          </w:p>
        </w:tc>
      </w:tr>
      <w:tr w:rsidR="00A06500" w:rsidRPr="00A06500" w:rsidTr="009A573B">
        <w:tc>
          <w:tcPr>
            <w:tcW w:w="9915" w:type="dxa"/>
            <w:gridSpan w:val="6"/>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b/>
                <w:sz w:val="22"/>
                <w:szCs w:val="22"/>
                <w:lang w:val="uk-UA"/>
              </w:rPr>
            </w:pPr>
            <w:r w:rsidRPr="00A06500">
              <w:rPr>
                <w:rFonts w:asciiTheme="minorHAnsi" w:hAnsiTheme="minorHAnsi"/>
                <w:b/>
                <w:sz w:val="22"/>
                <w:szCs w:val="22"/>
                <w:lang w:val="uk-UA"/>
              </w:rPr>
              <w:t>Обов’язкові компоненти ОП</w:t>
            </w:r>
          </w:p>
        </w:tc>
      </w:tr>
      <w:tr w:rsidR="00A06500" w:rsidRPr="00A06500" w:rsidTr="009A573B">
        <w:tc>
          <w:tcPr>
            <w:tcW w:w="9915" w:type="dxa"/>
            <w:gridSpan w:val="6"/>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pStyle w:val="Default"/>
              <w:spacing w:line="276" w:lineRule="auto"/>
              <w:jc w:val="center"/>
              <w:rPr>
                <w:rFonts w:asciiTheme="minorHAnsi" w:hAnsiTheme="minorHAnsi"/>
                <w:color w:val="auto"/>
                <w:sz w:val="22"/>
                <w:szCs w:val="22"/>
                <w:lang w:val="uk-UA"/>
              </w:rPr>
            </w:pPr>
            <w:r w:rsidRPr="00A06500">
              <w:rPr>
                <w:rFonts w:asciiTheme="minorHAnsi" w:hAnsiTheme="minorHAnsi"/>
                <w:b/>
                <w:bCs/>
                <w:i/>
                <w:iCs/>
                <w:color w:val="auto"/>
                <w:sz w:val="22"/>
                <w:szCs w:val="22"/>
                <w:lang w:val="uk-UA"/>
              </w:rPr>
              <w:t xml:space="preserve">Формування загальних </w:t>
            </w:r>
            <w:proofErr w:type="spellStart"/>
            <w:r w:rsidRPr="00A06500">
              <w:rPr>
                <w:rFonts w:asciiTheme="minorHAnsi" w:hAnsiTheme="minorHAnsi"/>
                <w:b/>
                <w:bCs/>
                <w:i/>
                <w:iCs/>
                <w:color w:val="auto"/>
                <w:sz w:val="22"/>
                <w:szCs w:val="22"/>
                <w:lang w:val="uk-UA"/>
              </w:rPr>
              <w:t>компетентностей</w:t>
            </w:r>
            <w:proofErr w:type="spellEnd"/>
            <w:r w:rsidRPr="00A06500">
              <w:rPr>
                <w:rFonts w:asciiTheme="minorHAnsi" w:hAnsiTheme="minorHAnsi"/>
                <w:b/>
                <w:bCs/>
                <w:i/>
                <w:iCs/>
                <w:color w:val="auto"/>
                <w:sz w:val="22"/>
                <w:szCs w:val="22"/>
                <w:lang w:val="uk-UA"/>
              </w:rPr>
              <w:t xml:space="preserve"> </w:t>
            </w:r>
          </w:p>
        </w:tc>
      </w:tr>
      <w:tr w:rsidR="00A06500" w:rsidRPr="00A06500" w:rsidTr="009A573B">
        <w:tc>
          <w:tcPr>
            <w:tcW w:w="9915" w:type="dxa"/>
            <w:gridSpan w:val="6"/>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numPr>
                <w:ilvl w:val="0"/>
                <w:numId w:val="20"/>
              </w:numPr>
              <w:suppressAutoHyphens/>
              <w:jc w:val="center"/>
              <w:rPr>
                <w:rFonts w:asciiTheme="minorHAnsi" w:hAnsiTheme="minorHAnsi"/>
                <w:sz w:val="22"/>
                <w:szCs w:val="22"/>
                <w:lang w:val="uk-UA"/>
              </w:rPr>
            </w:pPr>
            <w:r w:rsidRPr="00A06500">
              <w:rPr>
                <w:rFonts w:asciiTheme="minorHAnsi" w:hAnsiTheme="minorHAnsi"/>
                <w:b/>
                <w:sz w:val="22"/>
                <w:szCs w:val="22"/>
                <w:lang w:val="uk-UA"/>
              </w:rPr>
              <w:t>Нормативні навчальні дисципліни</w:t>
            </w:r>
          </w:p>
        </w:tc>
      </w:tr>
      <w:tr w:rsidR="00A06500" w:rsidRPr="00A06500" w:rsidTr="009A573B">
        <w:tc>
          <w:tcPr>
            <w:tcW w:w="9915" w:type="dxa"/>
            <w:gridSpan w:val="6"/>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cs="Times New Roman CYR"/>
                <w:b/>
                <w:bCs/>
                <w:sz w:val="22"/>
                <w:szCs w:val="22"/>
                <w:lang w:val="uk-UA"/>
              </w:rPr>
              <w:t>1.1. ЦИКЛ ГУМАНІТАРНОЇ ТА СОЦІАЛЬНО-ЕКОНОМІЧНОЇ ПІДГОТОВКИ</w:t>
            </w: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ОЗП 1.01</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Методика викладання у вищій школі</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B6777C" w:rsidP="00B6777C">
            <w:pPr>
              <w:jc w:val="center"/>
              <w:rPr>
                <w:rFonts w:asciiTheme="minorHAnsi" w:hAnsiTheme="minorHAnsi"/>
                <w:sz w:val="22"/>
                <w:szCs w:val="22"/>
                <w:lang w:val="uk-UA"/>
              </w:rPr>
            </w:pPr>
            <w:r>
              <w:rPr>
                <w:rFonts w:asciiTheme="minorHAnsi" w:hAnsiTheme="minorHAnsi"/>
                <w:sz w:val="22"/>
                <w:szCs w:val="22"/>
                <w:lang w:val="uk-UA"/>
              </w:rPr>
              <w:t>іспит</w:t>
            </w: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ОЗП 1.02</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Дипломатична служба і консульські установи України</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B6777C" w:rsidP="00B6777C">
            <w:pPr>
              <w:jc w:val="center"/>
              <w:rPr>
                <w:rFonts w:asciiTheme="minorHAnsi" w:hAnsiTheme="minorHAnsi"/>
                <w:sz w:val="22"/>
                <w:szCs w:val="22"/>
                <w:lang w:val="uk-UA"/>
              </w:rPr>
            </w:pPr>
            <w:r w:rsidRPr="00B6777C">
              <w:rPr>
                <w:rFonts w:asciiTheme="minorHAnsi" w:hAnsiTheme="minorHAnsi"/>
                <w:sz w:val="22"/>
                <w:szCs w:val="22"/>
                <w:lang w:val="uk-UA"/>
              </w:rPr>
              <w:t>іспит</w:t>
            </w: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ОЗП 1.03</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Аналіз і прогнозування зовнішньої політики</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B6777C" w:rsidP="00B6777C">
            <w:pPr>
              <w:jc w:val="center"/>
              <w:rPr>
                <w:rFonts w:asciiTheme="minorHAnsi" w:hAnsiTheme="minorHAnsi"/>
                <w:sz w:val="22"/>
                <w:szCs w:val="22"/>
                <w:lang w:val="uk-UA"/>
              </w:rPr>
            </w:pPr>
            <w:r w:rsidRPr="00B6777C">
              <w:rPr>
                <w:rFonts w:asciiTheme="minorHAnsi" w:hAnsiTheme="minorHAnsi"/>
                <w:sz w:val="22"/>
                <w:szCs w:val="22"/>
                <w:lang w:val="uk-UA"/>
              </w:rPr>
              <w:t>іспит</w:t>
            </w: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ОЗП 1.04</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Національна і регіональна безпека</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B6777C" w:rsidP="00B6777C">
            <w:pPr>
              <w:jc w:val="center"/>
              <w:rPr>
                <w:rFonts w:asciiTheme="minorHAnsi" w:hAnsiTheme="minorHAnsi"/>
                <w:sz w:val="22"/>
                <w:szCs w:val="22"/>
                <w:lang w:val="uk-UA"/>
              </w:rPr>
            </w:pPr>
            <w:r w:rsidRPr="00B6777C">
              <w:rPr>
                <w:rFonts w:asciiTheme="minorHAnsi" w:hAnsiTheme="minorHAnsi"/>
                <w:sz w:val="22"/>
                <w:szCs w:val="22"/>
                <w:lang w:val="uk-UA"/>
              </w:rPr>
              <w:t>іспит</w:t>
            </w: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ОЗП 1.05</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Іноземна мова для наукової комунікації</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B6777C" w:rsidP="00B6777C">
            <w:pPr>
              <w:jc w:val="center"/>
              <w:rPr>
                <w:rFonts w:asciiTheme="minorHAnsi" w:hAnsiTheme="minorHAnsi"/>
                <w:sz w:val="22"/>
                <w:szCs w:val="22"/>
                <w:lang w:val="uk-UA"/>
              </w:rPr>
            </w:pPr>
            <w:r w:rsidRPr="00B6777C">
              <w:rPr>
                <w:rFonts w:asciiTheme="minorHAnsi" w:hAnsiTheme="minorHAnsi"/>
                <w:sz w:val="22"/>
                <w:szCs w:val="22"/>
                <w:lang w:val="uk-UA"/>
              </w:rPr>
              <w:t>іспит</w:t>
            </w:r>
          </w:p>
        </w:tc>
      </w:tr>
      <w:tr w:rsidR="00A06500" w:rsidRPr="00A06500" w:rsidTr="009A573B">
        <w:tc>
          <w:tcPr>
            <w:tcW w:w="6366" w:type="dxa"/>
            <w:gridSpan w:val="2"/>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cs="Times New Roman CYR"/>
                <w:sz w:val="22"/>
                <w:szCs w:val="22"/>
                <w:lang w:val="uk-UA"/>
              </w:rPr>
            </w:pPr>
            <w:r w:rsidRPr="00A06500">
              <w:rPr>
                <w:rFonts w:asciiTheme="minorHAnsi" w:hAnsiTheme="minorHAnsi" w:cs="Times New Roman CYR"/>
                <w:sz w:val="22"/>
                <w:szCs w:val="22"/>
                <w:lang w:val="uk-UA"/>
              </w:rPr>
              <w:t>Всього за циклом</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15</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sz w:val="22"/>
                <w:szCs w:val="22"/>
                <w:lang w:val="uk-UA"/>
              </w:rPr>
            </w:pPr>
          </w:p>
        </w:tc>
      </w:tr>
      <w:tr w:rsidR="00A06500" w:rsidRPr="00A06500" w:rsidTr="009A573B">
        <w:tc>
          <w:tcPr>
            <w:tcW w:w="9915" w:type="dxa"/>
            <w:gridSpan w:val="6"/>
            <w:tcBorders>
              <w:top w:val="single" w:sz="4" w:space="0" w:color="000000"/>
              <w:left w:val="single" w:sz="4" w:space="0" w:color="000000"/>
              <w:bottom w:val="single" w:sz="4" w:space="0" w:color="000000"/>
              <w:right w:val="single" w:sz="4" w:space="0" w:color="000000"/>
            </w:tcBorders>
            <w:vAlign w:val="center"/>
          </w:tcPr>
          <w:p w:rsidR="00A06500" w:rsidRPr="00A06500" w:rsidRDefault="00A06500" w:rsidP="00B6777C">
            <w:pPr>
              <w:jc w:val="center"/>
              <w:rPr>
                <w:rFonts w:asciiTheme="minorHAnsi" w:hAnsiTheme="minorHAnsi" w:cs="Times New Roman CYR"/>
                <w:b/>
                <w:bCs/>
                <w:i/>
                <w:iCs/>
                <w:sz w:val="22"/>
                <w:szCs w:val="22"/>
                <w:lang w:val="uk-UA"/>
              </w:rPr>
            </w:pPr>
            <w:r w:rsidRPr="00A06500">
              <w:rPr>
                <w:rFonts w:asciiTheme="minorHAnsi" w:hAnsiTheme="minorHAnsi"/>
                <w:b/>
                <w:sz w:val="22"/>
                <w:szCs w:val="22"/>
                <w:lang w:val="uk-UA"/>
              </w:rPr>
              <w:t>1.2. Цикл професійної підготовки</w:t>
            </w:r>
          </w:p>
        </w:tc>
      </w:tr>
      <w:tr w:rsidR="00A06500" w:rsidRPr="00A06500" w:rsidTr="009A573B">
        <w:tc>
          <w:tcPr>
            <w:tcW w:w="9915" w:type="dxa"/>
            <w:gridSpan w:val="6"/>
            <w:tcBorders>
              <w:top w:val="single" w:sz="4" w:space="0" w:color="000000"/>
              <w:left w:val="single" w:sz="4" w:space="0" w:color="000000"/>
              <w:bottom w:val="single" w:sz="4" w:space="0" w:color="000000"/>
              <w:right w:val="single" w:sz="4" w:space="0" w:color="000000"/>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cs="Times New Roman CYR"/>
                <w:b/>
                <w:bCs/>
                <w:i/>
                <w:iCs/>
                <w:sz w:val="22"/>
                <w:szCs w:val="22"/>
                <w:lang w:val="uk-UA"/>
              </w:rPr>
              <w:t>2.2. Цикл професійної і практичної підготовки</w:t>
            </w:r>
          </w:p>
        </w:tc>
      </w:tr>
      <w:tr w:rsidR="00A06500" w:rsidRPr="00A06500" w:rsidTr="009A573B">
        <w:tc>
          <w:tcPr>
            <w:tcW w:w="9915" w:type="dxa"/>
            <w:gridSpan w:val="6"/>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cs="Times New Roman CYR"/>
                <w:b/>
                <w:caps/>
                <w:sz w:val="22"/>
                <w:szCs w:val="22"/>
                <w:lang w:val="uk-UA"/>
              </w:rPr>
            </w:pPr>
            <w:r>
              <w:rPr>
                <w:rFonts w:asciiTheme="minorHAnsi" w:hAnsiTheme="minorHAnsi"/>
                <w:b/>
                <w:caps/>
                <w:sz w:val="22"/>
                <w:szCs w:val="22"/>
                <w:lang w:val="uk-UA"/>
              </w:rPr>
              <w:t>ДИСЦИПЛІНИ СПЕЦІАЛІЗАЦІЇ</w:t>
            </w: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ОПП 1.21</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proofErr w:type="spellStart"/>
            <w:r w:rsidRPr="00A06500">
              <w:rPr>
                <w:rFonts w:asciiTheme="minorHAnsi" w:hAnsiTheme="minorHAnsi"/>
                <w:sz w:val="22"/>
                <w:szCs w:val="22"/>
                <w:lang w:val="uk-UA"/>
              </w:rPr>
              <w:t>Субнаціональний</w:t>
            </w:r>
            <w:proofErr w:type="spellEnd"/>
            <w:r w:rsidRPr="00A06500">
              <w:rPr>
                <w:rFonts w:asciiTheme="minorHAnsi" w:hAnsiTheme="minorHAnsi"/>
                <w:sz w:val="22"/>
                <w:szCs w:val="22"/>
                <w:lang w:val="uk-UA"/>
              </w:rPr>
              <w:t xml:space="preserve"> вимір ЄС</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4</w:t>
            </w:r>
          </w:p>
        </w:tc>
        <w:tc>
          <w:tcPr>
            <w:tcW w:w="1882" w:type="dxa"/>
            <w:gridSpan w:val="3"/>
            <w:tcBorders>
              <w:top w:val="single" w:sz="4" w:space="0" w:color="000000"/>
              <w:left w:val="single" w:sz="4" w:space="0" w:color="000000"/>
              <w:bottom w:val="single" w:sz="4" w:space="0" w:color="000000"/>
              <w:right w:val="single" w:sz="4" w:space="0" w:color="000000"/>
            </w:tcBorders>
            <w:vAlign w:val="center"/>
          </w:tcPr>
          <w:p w:rsidR="00A06500" w:rsidRPr="00A06500" w:rsidRDefault="00B6777C" w:rsidP="00B6777C">
            <w:pPr>
              <w:jc w:val="center"/>
              <w:rPr>
                <w:rFonts w:asciiTheme="minorHAnsi" w:hAnsiTheme="minorHAnsi"/>
                <w:sz w:val="22"/>
                <w:szCs w:val="22"/>
                <w:lang w:val="uk-UA"/>
              </w:rPr>
            </w:pPr>
            <w:r w:rsidRPr="00B6777C">
              <w:rPr>
                <w:rFonts w:asciiTheme="minorHAnsi" w:hAnsiTheme="minorHAnsi"/>
                <w:sz w:val="22"/>
                <w:szCs w:val="22"/>
                <w:lang w:val="uk-UA"/>
              </w:rPr>
              <w:t>іспит</w:t>
            </w: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ОПП 1.22</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Теорія кооперації та інтеграції</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4</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залік</w:t>
            </w: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ОПП 1.23</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Лобізм у міжнародних відносинах</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залік</w:t>
            </w: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ОПП 1.24</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 xml:space="preserve">Транскордонне </w:t>
            </w:r>
            <w:r w:rsidR="00BE1148" w:rsidRPr="00A06500">
              <w:rPr>
                <w:rFonts w:asciiTheme="minorHAnsi" w:hAnsiTheme="minorHAnsi"/>
                <w:sz w:val="22"/>
                <w:szCs w:val="22"/>
                <w:lang w:val="uk-UA"/>
              </w:rPr>
              <w:t>співробітництво</w:t>
            </w:r>
            <w:r w:rsidRPr="00A06500">
              <w:rPr>
                <w:rFonts w:asciiTheme="minorHAnsi" w:hAnsiTheme="minorHAnsi"/>
                <w:sz w:val="22"/>
                <w:szCs w:val="22"/>
                <w:lang w:val="uk-UA"/>
              </w:rPr>
              <w:t xml:space="preserve"> у Європі</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B6777C" w:rsidP="00B6777C">
            <w:pPr>
              <w:jc w:val="center"/>
              <w:rPr>
                <w:rFonts w:asciiTheme="minorHAnsi" w:hAnsiTheme="minorHAnsi"/>
                <w:sz w:val="22"/>
                <w:szCs w:val="22"/>
                <w:lang w:val="uk-UA"/>
              </w:rPr>
            </w:pPr>
            <w:r w:rsidRPr="00B6777C">
              <w:rPr>
                <w:rFonts w:asciiTheme="minorHAnsi" w:hAnsiTheme="minorHAnsi"/>
                <w:sz w:val="22"/>
                <w:szCs w:val="22"/>
                <w:lang w:val="uk-UA"/>
              </w:rPr>
              <w:t>іспит</w:t>
            </w: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ОПП 1.25</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Теорії регіонального розвитку</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B6777C" w:rsidP="00B6777C">
            <w:pPr>
              <w:jc w:val="center"/>
              <w:rPr>
                <w:rFonts w:asciiTheme="minorHAnsi" w:hAnsiTheme="minorHAnsi"/>
                <w:sz w:val="22"/>
                <w:szCs w:val="22"/>
                <w:lang w:val="uk-UA"/>
              </w:rPr>
            </w:pPr>
            <w:r w:rsidRPr="00B6777C">
              <w:rPr>
                <w:rFonts w:asciiTheme="minorHAnsi" w:hAnsiTheme="minorHAnsi"/>
                <w:sz w:val="22"/>
                <w:szCs w:val="22"/>
                <w:lang w:val="uk-UA"/>
              </w:rPr>
              <w:t>іспит</w:t>
            </w:r>
          </w:p>
        </w:tc>
      </w:tr>
      <w:tr w:rsidR="00A06500" w:rsidRPr="00A06500" w:rsidTr="009A573B">
        <w:tc>
          <w:tcPr>
            <w:tcW w:w="1414"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ОПП 1.26</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Теоретичний семінар</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залік</w:t>
            </w:r>
          </w:p>
        </w:tc>
      </w:tr>
      <w:tr w:rsidR="00A06500" w:rsidRPr="00A06500" w:rsidTr="009A573B">
        <w:tc>
          <w:tcPr>
            <w:tcW w:w="1414"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ОПП 1.27</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6F45C6" w:rsidP="00B6777C">
            <w:pPr>
              <w:rPr>
                <w:rFonts w:asciiTheme="minorHAnsi" w:hAnsiTheme="minorHAnsi"/>
                <w:sz w:val="22"/>
                <w:szCs w:val="22"/>
                <w:lang w:val="uk-UA"/>
              </w:rPr>
            </w:pPr>
            <w:r w:rsidRPr="006F45C6">
              <w:rPr>
                <w:rFonts w:asciiTheme="minorHAnsi" w:hAnsiTheme="minorHAnsi"/>
                <w:sz w:val="22"/>
                <w:szCs w:val="22"/>
                <w:lang w:val="uk-UA"/>
              </w:rPr>
              <w:t>Місцеве врядування й громадянське суспільство</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B6777C" w:rsidP="00B6777C">
            <w:pPr>
              <w:jc w:val="center"/>
              <w:rPr>
                <w:rFonts w:asciiTheme="minorHAnsi" w:hAnsiTheme="minorHAnsi"/>
                <w:sz w:val="22"/>
                <w:szCs w:val="22"/>
                <w:lang w:val="uk-UA"/>
              </w:rPr>
            </w:pPr>
            <w:r w:rsidRPr="00B6777C">
              <w:rPr>
                <w:rFonts w:asciiTheme="minorHAnsi" w:hAnsiTheme="minorHAnsi"/>
                <w:sz w:val="22"/>
                <w:szCs w:val="22"/>
                <w:lang w:val="uk-UA"/>
              </w:rPr>
              <w:t>іспит</w:t>
            </w:r>
          </w:p>
        </w:tc>
      </w:tr>
      <w:tr w:rsidR="00A06500" w:rsidRPr="00A06500" w:rsidTr="009A573B">
        <w:tc>
          <w:tcPr>
            <w:tcW w:w="9915" w:type="dxa"/>
            <w:gridSpan w:val="6"/>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cs="Times New Roman CYR"/>
                <w:b/>
                <w:sz w:val="22"/>
                <w:szCs w:val="22"/>
                <w:lang w:val="uk-UA"/>
              </w:rPr>
            </w:pPr>
            <w:r w:rsidRPr="00A06500">
              <w:rPr>
                <w:rFonts w:asciiTheme="minorHAnsi" w:hAnsiTheme="minorHAnsi"/>
                <w:b/>
                <w:sz w:val="22"/>
                <w:szCs w:val="22"/>
                <w:lang w:val="uk-UA"/>
              </w:rPr>
              <w:t>Практична підготовка</w:t>
            </w: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cs="Times New Roman CYR"/>
                <w:sz w:val="22"/>
                <w:szCs w:val="22"/>
                <w:lang w:val="uk-UA"/>
              </w:rPr>
            </w:pPr>
            <w:r w:rsidRPr="00A06500">
              <w:rPr>
                <w:rFonts w:asciiTheme="minorHAnsi" w:hAnsiTheme="minorHAnsi"/>
                <w:sz w:val="22"/>
                <w:szCs w:val="22"/>
                <w:lang w:val="uk-UA"/>
              </w:rPr>
              <w:t>ОПП 1.28</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Практикум перекладу</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cs="Times New Roman CYR"/>
                <w:sz w:val="22"/>
                <w:szCs w:val="22"/>
                <w:lang w:val="uk-UA"/>
              </w:rPr>
            </w:pPr>
            <w:r w:rsidRPr="00A06500">
              <w:rPr>
                <w:rFonts w:asciiTheme="minorHAnsi" w:hAnsiTheme="minorHAnsi" w:cs="Times New Roman CYR"/>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vAlign w:val="center"/>
          </w:tcPr>
          <w:p w:rsidR="00A06500" w:rsidRPr="00A06500" w:rsidRDefault="00A06500" w:rsidP="00B6777C">
            <w:pPr>
              <w:jc w:val="center"/>
              <w:rPr>
                <w:rFonts w:asciiTheme="minorHAnsi" w:hAnsiTheme="minorHAnsi" w:cs="Times New Roman CYR"/>
                <w:sz w:val="22"/>
                <w:szCs w:val="22"/>
                <w:lang w:val="uk-UA"/>
              </w:rPr>
            </w:pPr>
            <w:r w:rsidRPr="00A06500">
              <w:rPr>
                <w:rFonts w:asciiTheme="minorHAnsi" w:hAnsiTheme="minorHAnsi" w:cs="Times New Roman CYR"/>
                <w:sz w:val="22"/>
                <w:szCs w:val="22"/>
                <w:lang w:val="uk-UA"/>
              </w:rPr>
              <w:t>залік</w:t>
            </w: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cs="Times New Roman CYR"/>
                <w:sz w:val="22"/>
                <w:szCs w:val="22"/>
                <w:lang w:val="uk-UA"/>
              </w:rPr>
            </w:pPr>
            <w:r w:rsidRPr="00A06500">
              <w:rPr>
                <w:rFonts w:asciiTheme="minorHAnsi" w:hAnsiTheme="minorHAnsi"/>
                <w:sz w:val="22"/>
                <w:szCs w:val="22"/>
                <w:lang w:val="uk-UA"/>
              </w:rPr>
              <w:t>ОПП 1.29</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Педагогічна (асистентська) практика</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cs="Times New Roman CYR"/>
                <w:sz w:val="22"/>
                <w:szCs w:val="22"/>
                <w:lang w:val="uk-UA"/>
              </w:rPr>
            </w:pPr>
            <w:r w:rsidRPr="00A06500">
              <w:rPr>
                <w:rFonts w:asciiTheme="minorHAnsi" w:hAnsiTheme="minorHAnsi" w:cs="Times New Roman CYR"/>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vAlign w:val="center"/>
          </w:tcPr>
          <w:p w:rsidR="00A06500" w:rsidRPr="00A06500" w:rsidRDefault="00A06500" w:rsidP="00B6777C">
            <w:pPr>
              <w:jc w:val="center"/>
              <w:rPr>
                <w:rFonts w:asciiTheme="minorHAnsi" w:hAnsiTheme="minorHAnsi" w:cs="Times New Roman CYR"/>
                <w:sz w:val="22"/>
                <w:szCs w:val="22"/>
                <w:lang w:val="uk-UA"/>
              </w:rPr>
            </w:pPr>
            <w:r w:rsidRPr="00A06500">
              <w:rPr>
                <w:rFonts w:asciiTheme="minorHAnsi" w:hAnsiTheme="minorHAnsi" w:cs="Times New Roman CYR"/>
                <w:sz w:val="22"/>
                <w:szCs w:val="22"/>
                <w:lang w:val="uk-UA"/>
              </w:rPr>
              <w:t>залік</w:t>
            </w: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tabs>
                <w:tab w:val="left" w:pos="4872"/>
              </w:tabs>
              <w:rPr>
                <w:rFonts w:asciiTheme="minorHAnsi" w:hAnsiTheme="minorHAnsi" w:cs="Times New Roman CYR"/>
                <w:sz w:val="22"/>
                <w:szCs w:val="22"/>
                <w:lang w:val="uk-UA"/>
              </w:rPr>
            </w:pPr>
            <w:r w:rsidRPr="00A06500">
              <w:rPr>
                <w:rFonts w:asciiTheme="minorHAnsi" w:hAnsiTheme="minorHAnsi"/>
                <w:sz w:val="22"/>
                <w:szCs w:val="22"/>
                <w:lang w:val="uk-UA"/>
              </w:rPr>
              <w:t>ОПП 1.30</w:t>
            </w:r>
            <w:r w:rsidRPr="00A06500">
              <w:rPr>
                <w:rFonts w:asciiTheme="minorHAnsi" w:hAnsiTheme="minorHAnsi" w:cs="Times New Roman CYR"/>
                <w:sz w:val="22"/>
                <w:szCs w:val="22"/>
                <w:lang w:val="uk-UA"/>
              </w:rPr>
              <w:tab/>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Виробнича (переддипломна) практика</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cs="Times New Roman CYR"/>
                <w:sz w:val="22"/>
                <w:szCs w:val="22"/>
                <w:lang w:val="uk-UA"/>
              </w:rPr>
            </w:pPr>
            <w:r w:rsidRPr="00A06500">
              <w:rPr>
                <w:rFonts w:asciiTheme="minorHAnsi" w:hAnsiTheme="minorHAnsi" w:cs="Times New Roman CYR"/>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vAlign w:val="center"/>
          </w:tcPr>
          <w:p w:rsidR="00A06500" w:rsidRPr="00A06500" w:rsidRDefault="00A06500" w:rsidP="00B6777C">
            <w:pPr>
              <w:jc w:val="center"/>
              <w:rPr>
                <w:rFonts w:asciiTheme="minorHAnsi" w:hAnsiTheme="minorHAnsi" w:cs="Times New Roman CYR"/>
                <w:sz w:val="22"/>
                <w:szCs w:val="22"/>
                <w:lang w:val="uk-UA"/>
              </w:rPr>
            </w:pPr>
            <w:r w:rsidRPr="00A06500">
              <w:rPr>
                <w:rFonts w:asciiTheme="minorHAnsi" w:hAnsiTheme="minorHAnsi" w:cs="Times New Roman CYR"/>
                <w:sz w:val="22"/>
                <w:szCs w:val="22"/>
                <w:lang w:val="uk-UA"/>
              </w:rPr>
              <w:t>залік</w:t>
            </w:r>
          </w:p>
        </w:tc>
      </w:tr>
      <w:tr w:rsidR="00A06500" w:rsidRPr="00A06500" w:rsidTr="009A573B">
        <w:tc>
          <w:tcPr>
            <w:tcW w:w="6366" w:type="dxa"/>
            <w:gridSpan w:val="2"/>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cs="Times New Roman CYR"/>
                <w:sz w:val="22"/>
                <w:szCs w:val="22"/>
                <w:lang w:val="uk-UA"/>
              </w:rPr>
            </w:pPr>
            <w:r w:rsidRPr="00A06500">
              <w:rPr>
                <w:rFonts w:asciiTheme="minorHAnsi" w:hAnsiTheme="minorHAnsi" w:cs="Times New Roman CYR"/>
                <w:sz w:val="22"/>
                <w:szCs w:val="22"/>
                <w:lang w:val="uk-UA"/>
              </w:rPr>
              <w:t xml:space="preserve">Всього </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cs="Times New Roman CYR"/>
                <w:sz w:val="22"/>
                <w:szCs w:val="22"/>
                <w:lang w:val="uk-UA"/>
              </w:rPr>
            </w:pPr>
            <w:r w:rsidRPr="00A06500">
              <w:rPr>
                <w:rFonts w:asciiTheme="minorHAnsi" w:hAnsiTheme="minorHAnsi" w:cs="Times New Roman CYR"/>
                <w:sz w:val="22"/>
                <w:szCs w:val="22"/>
                <w:lang w:val="uk-UA"/>
              </w:rPr>
              <w:t>9</w:t>
            </w:r>
          </w:p>
        </w:tc>
        <w:tc>
          <w:tcPr>
            <w:tcW w:w="1882" w:type="dxa"/>
            <w:gridSpan w:val="3"/>
            <w:tcBorders>
              <w:top w:val="single" w:sz="4" w:space="0" w:color="000000"/>
              <w:left w:val="single" w:sz="4" w:space="0" w:color="000000"/>
              <w:bottom w:val="single" w:sz="4" w:space="0" w:color="000000"/>
              <w:right w:val="single" w:sz="4" w:space="0" w:color="000000"/>
            </w:tcBorders>
            <w:vAlign w:val="center"/>
          </w:tcPr>
          <w:p w:rsidR="00A06500" w:rsidRPr="00A06500" w:rsidRDefault="00A06500" w:rsidP="00B6777C">
            <w:pPr>
              <w:jc w:val="center"/>
              <w:rPr>
                <w:rFonts w:asciiTheme="minorHAnsi" w:hAnsiTheme="minorHAnsi" w:cs="Times New Roman CYR"/>
                <w:sz w:val="22"/>
                <w:szCs w:val="22"/>
                <w:lang w:val="uk-UA"/>
              </w:rPr>
            </w:pPr>
          </w:p>
        </w:tc>
      </w:tr>
      <w:tr w:rsidR="00A06500" w:rsidRPr="00A06500" w:rsidTr="009A573B">
        <w:tc>
          <w:tcPr>
            <w:tcW w:w="9915" w:type="dxa"/>
            <w:gridSpan w:val="6"/>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cs="Times New Roman CYR"/>
                <w:b/>
                <w:sz w:val="22"/>
                <w:szCs w:val="22"/>
                <w:lang w:val="uk-UA"/>
              </w:rPr>
            </w:pPr>
            <w:r w:rsidRPr="00A06500">
              <w:rPr>
                <w:rFonts w:asciiTheme="minorHAnsi" w:hAnsiTheme="minorHAnsi" w:cs="Times New Roman CYR"/>
                <w:b/>
                <w:sz w:val="22"/>
                <w:szCs w:val="22"/>
                <w:lang w:val="uk-UA"/>
              </w:rPr>
              <w:t>Атестація</w:t>
            </w: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cs="Times New Roman CYR"/>
                <w:sz w:val="22"/>
                <w:szCs w:val="22"/>
                <w:lang w:val="uk-UA"/>
              </w:rPr>
            </w:pPr>
            <w:r w:rsidRPr="00A06500">
              <w:rPr>
                <w:rFonts w:asciiTheme="minorHAnsi" w:hAnsiTheme="minorHAnsi"/>
                <w:sz w:val="22"/>
                <w:szCs w:val="22"/>
                <w:lang w:val="uk-UA"/>
              </w:rPr>
              <w:t>ОПП 1.31</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Курсова робота</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cs="Times New Roman CYR"/>
                <w:sz w:val="22"/>
                <w:szCs w:val="22"/>
                <w:lang w:val="uk-UA"/>
              </w:rPr>
            </w:pPr>
            <w:r w:rsidRPr="00A06500">
              <w:rPr>
                <w:rFonts w:asciiTheme="minorHAnsi" w:hAnsiTheme="minorHAnsi" w:cs="Times New Roman CYR"/>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vAlign w:val="center"/>
          </w:tcPr>
          <w:p w:rsidR="00A06500" w:rsidRPr="00A06500" w:rsidRDefault="00A06500" w:rsidP="00B6777C">
            <w:pPr>
              <w:jc w:val="center"/>
              <w:rPr>
                <w:rFonts w:asciiTheme="minorHAnsi" w:hAnsiTheme="minorHAnsi" w:cs="Times New Roman CYR"/>
                <w:sz w:val="22"/>
                <w:szCs w:val="22"/>
                <w:lang w:val="uk-UA"/>
              </w:rPr>
            </w:pP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ОПП 1.32</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Державний іспит з практики перекладу</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cs="Times New Roman CYR"/>
                <w:sz w:val="22"/>
                <w:szCs w:val="22"/>
                <w:lang w:val="uk-UA"/>
              </w:rPr>
            </w:pPr>
            <w:r w:rsidRPr="00A06500">
              <w:rPr>
                <w:rFonts w:asciiTheme="minorHAnsi" w:hAnsiTheme="minorHAnsi" w:cs="Times New Roman CYR"/>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vAlign w:val="center"/>
          </w:tcPr>
          <w:p w:rsidR="00A06500" w:rsidRPr="00A06500" w:rsidRDefault="00A06500" w:rsidP="00B6777C">
            <w:pPr>
              <w:jc w:val="center"/>
              <w:rPr>
                <w:rFonts w:asciiTheme="minorHAnsi" w:hAnsiTheme="minorHAnsi" w:cs="Times New Roman CYR"/>
                <w:sz w:val="22"/>
                <w:szCs w:val="22"/>
                <w:lang w:val="uk-UA"/>
              </w:rPr>
            </w:pPr>
          </w:p>
        </w:tc>
      </w:tr>
      <w:tr w:rsidR="00A06500" w:rsidRPr="00A06500" w:rsidTr="009A573B">
        <w:tc>
          <w:tcPr>
            <w:tcW w:w="1414" w:type="dxa"/>
            <w:tcBorders>
              <w:top w:val="single" w:sz="4" w:space="0" w:color="000000"/>
              <w:left w:val="single" w:sz="4" w:space="0" w:color="000000"/>
              <w:bottom w:val="single" w:sz="4" w:space="0" w:color="000000"/>
              <w:right w:val="nil"/>
            </w:tcBorders>
          </w:tcPr>
          <w:p w:rsidR="00A06500" w:rsidRPr="00A06500" w:rsidRDefault="00A06500" w:rsidP="00B6777C">
            <w:pPr>
              <w:tabs>
                <w:tab w:val="left" w:pos="4872"/>
              </w:tabs>
              <w:rPr>
                <w:rFonts w:asciiTheme="minorHAnsi" w:hAnsiTheme="minorHAnsi" w:cs="Times New Roman CYR"/>
                <w:sz w:val="22"/>
                <w:szCs w:val="22"/>
                <w:lang w:val="uk-UA"/>
              </w:rPr>
            </w:pPr>
            <w:r w:rsidRPr="00A06500">
              <w:rPr>
                <w:rFonts w:asciiTheme="minorHAnsi" w:hAnsiTheme="minorHAnsi"/>
                <w:sz w:val="22"/>
                <w:szCs w:val="22"/>
                <w:lang w:val="uk-UA"/>
              </w:rPr>
              <w:t>ОПП 1.33</w:t>
            </w:r>
            <w:r w:rsidRPr="00A06500">
              <w:rPr>
                <w:rFonts w:asciiTheme="minorHAnsi" w:hAnsiTheme="minorHAnsi" w:cs="Times New Roman CYR"/>
                <w:sz w:val="22"/>
                <w:szCs w:val="22"/>
                <w:lang w:val="uk-UA"/>
              </w:rPr>
              <w:tab/>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Кваліфікаційна (магістерська) робота</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cs="Times New Roman CYR"/>
                <w:sz w:val="22"/>
                <w:szCs w:val="22"/>
                <w:lang w:val="uk-UA"/>
              </w:rPr>
            </w:pPr>
            <w:r w:rsidRPr="00A06500">
              <w:rPr>
                <w:rFonts w:asciiTheme="minorHAnsi" w:hAnsiTheme="minorHAnsi" w:cs="Times New Roman CYR"/>
                <w:sz w:val="22"/>
                <w:szCs w:val="22"/>
                <w:lang w:val="uk-UA"/>
              </w:rPr>
              <w:t>9</w:t>
            </w:r>
          </w:p>
        </w:tc>
        <w:tc>
          <w:tcPr>
            <w:tcW w:w="1882" w:type="dxa"/>
            <w:gridSpan w:val="3"/>
            <w:tcBorders>
              <w:top w:val="single" w:sz="4" w:space="0" w:color="000000"/>
              <w:left w:val="single" w:sz="4" w:space="0" w:color="000000"/>
              <w:bottom w:val="single" w:sz="4" w:space="0" w:color="000000"/>
              <w:right w:val="single" w:sz="4" w:space="0" w:color="000000"/>
            </w:tcBorders>
            <w:vAlign w:val="center"/>
          </w:tcPr>
          <w:p w:rsidR="00A06500" w:rsidRPr="00A06500" w:rsidRDefault="00A06500" w:rsidP="00B6777C">
            <w:pPr>
              <w:jc w:val="center"/>
              <w:rPr>
                <w:rFonts w:asciiTheme="minorHAnsi" w:hAnsiTheme="minorHAnsi" w:cs="Times New Roman CYR"/>
                <w:sz w:val="22"/>
                <w:szCs w:val="22"/>
                <w:lang w:val="uk-UA"/>
              </w:rPr>
            </w:pPr>
          </w:p>
        </w:tc>
      </w:tr>
      <w:tr w:rsidR="00A06500" w:rsidRPr="00A06500" w:rsidTr="009A573B">
        <w:tc>
          <w:tcPr>
            <w:tcW w:w="6366" w:type="dxa"/>
            <w:gridSpan w:val="2"/>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cs="Times New Roman CYR"/>
                <w:sz w:val="22"/>
                <w:szCs w:val="22"/>
                <w:lang w:val="uk-UA"/>
              </w:rPr>
            </w:pPr>
            <w:r w:rsidRPr="00A06500">
              <w:rPr>
                <w:rFonts w:asciiTheme="minorHAnsi" w:hAnsiTheme="minorHAnsi" w:cs="Times New Roman CYR"/>
                <w:sz w:val="22"/>
                <w:szCs w:val="22"/>
                <w:lang w:val="uk-UA"/>
              </w:rPr>
              <w:t xml:space="preserve">Всього </w:t>
            </w:r>
          </w:p>
        </w:tc>
        <w:tc>
          <w:tcPr>
            <w:tcW w:w="1667" w:type="dxa"/>
            <w:tcBorders>
              <w:top w:val="single" w:sz="4" w:space="0" w:color="000000"/>
              <w:left w:val="single" w:sz="4" w:space="0" w:color="000000"/>
              <w:bottom w:val="single" w:sz="4" w:space="0" w:color="000000"/>
              <w:right w:val="nil"/>
            </w:tcBorders>
          </w:tcPr>
          <w:p w:rsidR="00A06500" w:rsidRPr="00A06500" w:rsidRDefault="00A06500" w:rsidP="00B6777C">
            <w:pPr>
              <w:jc w:val="center"/>
              <w:rPr>
                <w:rFonts w:asciiTheme="minorHAnsi" w:hAnsiTheme="minorHAnsi" w:cs="Times New Roman CYR"/>
                <w:sz w:val="22"/>
                <w:szCs w:val="22"/>
                <w:lang w:val="uk-UA"/>
              </w:rPr>
            </w:pPr>
            <w:r w:rsidRPr="00A06500">
              <w:rPr>
                <w:rFonts w:asciiTheme="minorHAnsi" w:hAnsiTheme="minorHAnsi" w:cs="Times New Roman CYR"/>
                <w:sz w:val="22"/>
                <w:szCs w:val="22"/>
                <w:lang w:val="uk-UA"/>
              </w:rPr>
              <w:t>56</w:t>
            </w:r>
          </w:p>
        </w:tc>
        <w:tc>
          <w:tcPr>
            <w:tcW w:w="1882" w:type="dxa"/>
            <w:gridSpan w:val="3"/>
            <w:tcBorders>
              <w:top w:val="single" w:sz="4" w:space="0" w:color="000000"/>
              <w:left w:val="single" w:sz="4" w:space="0" w:color="000000"/>
              <w:bottom w:val="single" w:sz="4" w:space="0" w:color="000000"/>
              <w:right w:val="single" w:sz="4" w:space="0" w:color="000000"/>
            </w:tcBorders>
            <w:vAlign w:val="center"/>
          </w:tcPr>
          <w:p w:rsidR="00A06500" w:rsidRPr="00A06500" w:rsidRDefault="00A06500" w:rsidP="00B6777C">
            <w:pPr>
              <w:jc w:val="center"/>
              <w:rPr>
                <w:rFonts w:asciiTheme="minorHAnsi" w:hAnsiTheme="minorHAnsi" w:cs="Times New Roman CYR"/>
                <w:sz w:val="22"/>
                <w:szCs w:val="22"/>
                <w:lang w:val="uk-UA"/>
              </w:rPr>
            </w:pPr>
          </w:p>
        </w:tc>
      </w:tr>
      <w:tr w:rsidR="00A06500" w:rsidRPr="00A06500" w:rsidTr="009A573B">
        <w:tc>
          <w:tcPr>
            <w:tcW w:w="6366" w:type="dxa"/>
            <w:gridSpan w:val="2"/>
            <w:tcBorders>
              <w:top w:val="single" w:sz="4" w:space="0" w:color="000000"/>
              <w:left w:val="single" w:sz="4" w:space="0" w:color="000000"/>
              <w:bottom w:val="single" w:sz="4" w:space="0" w:color="000000"/>
              <w:right w:val="nil"/>
            </w:tcBorders>
          </w:tcPr>
          <w:p w:rsidR="00A06500" w:rsidRPr="00A06500" w:rsidRDefault="00A06500" w:rsidP="00B6777C">
            <w:pPr>
              <w:rPr>
                <w:rFonts w:asciiTheme="minorHAnsi" w:hAnsiTheme="minorHAnsi" w:cs="Times New Roman CYR"/>
                <w:sz w:val="22"/>
                <w:szCs w:val="22"/>
                <w:lang w:val="uk-UA"/>
              </w:rPr>
            </w:pPr>
            <w:r w:rsidRPr="00A06500">
              <w:rPr>
                <w:rFonts w:asciiTheme="minorHAnsi" w:hAnsiTheme="minorHAnsi" w:cs="Times New Roman CYR"/>
                <w:sz w:val="22"/>
                <w:szCs w:val="22"/>
                <w:lang w:val="uk-UA"/>
              </w:rPr>
              <w:t>Загальний обсяг обов’язкових компонент</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cs="Times New Roman CYR"/>
                <w:b/>
                <w:sz w:val="22"/>
                <w:szCs w:val="22"/>
                <w:lang w:val="uk-UA"/>
              </w:rPr>
            </w:pPr>
            <w:r w:rsidRPr="00A06500">
              <w:rPr>
                <w:rFonts w:asciiTheme="minorHAnsi" w:hAnsiTheme="minorHAnsi" w:cs="Times New Roman CYR"/>
                <w:b/>
                <w:sz w:val="22"/>
                <w:szCs w:val="22"/>
                <w:lang w:val="uk-UA"/>
              </w:rPr>
              <w:t>71</w:t>
            </w:r>
          </w:p>
        </w:tc>
        <w:tc>
          <w:tcPr>
            <w:tcW w:w="1882" w:type="dxa"/>
            <w:gridSpan w:val="3"/>
            <w:tcBorders>
              <w:top w:val="single" w:sz="4" w:space="0" w:color="000000"/>
              <w:left w:val="single" w:sz="4" w:space="0" w:color="000000"/>
              <w:bottom w:val="single" w:sz="4" w:space="0" w:color="000000"/>
              <w:right w:val="single" w:sz="4" w:space="0" w:color="000000"/>
            </w:tcBorders>
            <w:vAlign w:val="center"/>
          </w:tcPr>
          <w:p w:rsidR="00A06500" w:rsidRPr="00A06500" w:rsidRDefault="00A06500" w:rsidP="00B6777C">
            <w:pPr>
              <w:jc w:val="center"/>
              <w:rPr>
                <w:rFonts w:asciiTheme="minorHAnsi" w:hAnsiTheme="minorHAnsi" w:cs="Times New Roman CYR"/>
                <w:sz w:val="22"/>
                <w:szCs w:val="22"/>
                <w:lang w:val="uk-UA"/>
              </w:rPr>
            </w:pPr>
          </w:p>
        </w:tc>
      </w:tr>
      <w:tr w:rsidR="00A06500" w:rsidRPr="00A06500" w:rsidTr="009A573B">
        <w:tc>
          <w:tcPr>
            <w:tcW w:w="9915" w:type="dxa"/>
            <w:gridSpan w:val="6"/>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b/>
                <w:bCs/>
                <w:sz w:val="22"/>
                <w:szCs w:val="22"/>
                <w:lang w:val="uk-UA"/>
              </w:rPr>
            </w:pPr>
            <w:r w:rsidRPr="00A06500">
              <w:rPr>
                <w:rFonts w:asciiTheme="minorHAnsi" w:hAnsiTheme="minorHAnsi"/>
                <w:b/>
                <w:sz w:val="22"/>
                <w:szCs w:val="22"/>
                <w:lang w:val="uk-UA"/>
              </w:rPr>
              <w:t>Вибіркові компоненти ОП</w:t>
            </w:r>
          </w:p>
        </w:tc>
      </w:tr>
      <w:tr w:rsidR="00A06500" w:rsidRPr="00A06500" w:rsidTr="009A573B">
        <w:tc>
          <w:tcPr>
            <w:tcW w:w="9915" w:type="dxa"/>
            <w:gridSpan w:val="6"/>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numPr>
                <w:ilvl w:val="0"/>
                <w:numId w:val="20"/>
              </w:numPr>
              <w:suppressAutoHyphens/>
              <w:jc w:val="center"/>
              <w:rPr>
                <w:rFonts w:asciiTheme="minorHAnsi" w:hAnsiTheme="minorHAnsi"/>
                <w:sz w:val="22"/>
                <w:szCs w:val="22"/>
                <w:lang w:val="uk-UA"/>
              </w:rPr>
            </w:pPr>
            <w:r w:rsidRPr="00A06500">
              <w:rPr>
                <w:rFonts w:asciiTheme="minorHAnsi" w:hAnsiTheme="minorHAnsi"/>
                <w:b/>
                <w:bCs/>
                <w:sz w:val="22"/>
                <w:szCs w:val="22"/>
                <w:lang w:val="uk-UA"/>
              </w:rPr>
              <w:t>Вибіркові навчальні дисципліни</w:t>
            </w:r>
          </w:p>
        </w:tc>
      </w:tr>
      <w:tr w:rsidR="00A06500" w:rsidRPr="00A06500" w:rsidTr="009A573B">
        <w:tc>
          <w:tcPr>
            <w:tcW w:w="9915" w:type="dxa"/>
            <w:gridSpan w:val="6"/>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cs="Times New Roman CYR"/>
                <w:b/>
                <w:bCs/>
                <w:i/>
                <w:iCs/>
                <w:sz w:val="22"/>
                <w:szCs w:val="22"/>
                <w:lang w:val="uk-UA"/>
              </w:rPr>
            </w:pPr>
            <w:r w:rsidRPr="00A06500">
              <w:rPr>
                <w:rFonts w:asciiTheme="minorHAnsi" w:hAnsiTheme="minorHAnsi"/>
                <w:b/>
                <w:sz w:val="22"/>
                <w:szCs w:val="22"/>
                <w:lang w:val="uk-UA"/>
              </w:rPr>
              <w:t>Цикл загальної підготовки</w:t>
            </w:r>
          </w:p>
        </w:tc>
      </w:tr>
      <w:tr w:rsidR="00A06500" w:rsidRPr="00A06500" w:rsidTr="009A573B">
        <w:tc>
          <w:tcPr>
            <w:tcW w:w="9915" w:type="dxa"/>
            <w:gridSpan w:val="6"/>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numPr>
                <w:ilvl w:val="1"/>
                <w:numId w:val="20"/>
              </w:numPr>
              <w:suppressAutoHyphens/>
              <w:jc w:val="center"/>
              <w:rPr>
                <w:rFonts w:asciiTheme="minorHAnsi" w:hAnsiTheme="minorHAnsi" w:cs="Times New Roman CYR"/>
                <w:b/>
                <w:bCs/>
                <w:i/>
                <w:iCs/>
                <w:sz w:val="22"/>
                <w:szCs w:val="22"/>
                <w:lang w:val="uk-UA"/>
              </w:rPr>
            </w:pPr>
            <w:r w:rsidRPr="00A06500">
              <w:rPr>
                <w:rFonts w:asciiTheme="minorHAnsi" w:hAnsiTheme="minorHAnsi" w:cs="Times New Roman CYR"/>
                <w:b/>
                <w:bCs/>
                <w:i/>
                <w:iCs/>
                <w:sz w:val="22"/>
                <w:szCs w:val="22"/>
                <w:lang w:val="uk-UA"/>
              </w:rPr>
              <w:t xml:space="preserve"> Цикл гуманітарної та соціально-економічної підготовки</w:t>
            </w:r>
          </w:p>
        </w:tc>
      </w:tr>
      <w:tr w:rsidR="00A06500" w:rsidRPr="00A06500" w:rsidTr="009A573B">
        <w:tc>
          <w:tcPr>
            <w:tcW w:w="1414"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lastRenderedPageBreak/>
              <w:t>ВЗП 2.1.1</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Моделювання геополітики</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4</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залік</w:t>
            </w:r>
          </w:p>
        </w:tc>
      </w:tr>
      <w:tr w:rsidR="00A06500" w:rsidRPr="00A06500" w:rsidTr="009A573B">
        <w:tc>
          <w:tcPr>
            <w:tcW w:w="1414"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ВЗП 2.1.2</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Слов'янська мова</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9,5</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залік</w:t>
            </w:r>
          </w:p>
        </w:tc>
      </w:tr>
      <w:tr w:rsidR="00A06500" w:rsidRPr="00A06500" w:rsidTr="009A573B">
        <w:tc>
          <w:tcPr>
            <w:tcW w:w="1414"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ВЗП 2.1.3</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Україна в сучасних геополітичних процесах</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3</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залік</w:t>
            </w:r>
          </w:p>
        </w:tc>
      </w:tr>
      <w:tr w:rsidR="00A06500" w:rsidRPr="00A06500" w:rsidTr="009A573B">
        <w:tc>
          <w:tcPr>
            <w:tcW w:w="1414"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ВЗП 2.1.4</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Польська мова</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8,5</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залік</w:t>
            </w:r>
          </w:p>
        </w:tc>
      </w:tr>
      <w:tr w:rsidR="00A06500" w:rsidRPr="00A06500" w:rsidTr="009A573B">
        <w:tc>
          <w:tcPr>
            <w:tcW w:w="1414"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ВЗП 2.1.5</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Сучасна зовнішня політика Республіки Польща</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5</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залік</w:t>
            </w:r>
          </w:p>
        </w:tc>
      </w:tr>
      <w:tr w:rsidR="00A06500" w:rsidRPr="00A06500" w:rsidTr="009A573B">
        <w:tc>
          <w:tcPr>
            <w:tcW w:w="1414"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ВЗП 2.1.6</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Управління міжнародними проектами</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5</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залік</w:t>
            </w:r>
          </w:p>
        </w:tc>
      </w:tr>
      <w:tr w:rsidR="00A06500" w:rsidRPr="00A06500" w:rsidTr="009A573B">
        <w:tc>
          <w:tcPr>
            <w:tcW w:w="1414"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ВЗП 2.1.7</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Еліти у міжнародних відносинах</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5,5</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залік</w:t>
            </w:r>
          </w:p>
        </w:tc>
      </w:tr>
      <w:tr w:rsidR="00A06500" w:rsidRPr="00A06500" w:rsidTr="009A573B">
        <w:tc>
          <w:tcPr>
            <w:tcW w:w="1414"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ВЗП 2.1.8</w:t>
            </w:r>
          </w:p>
        </w:tc>
        <w:tc>
          <w:tcPr>
            <w:tcW w:w="4952"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sz w:val="22"/>
                <w:szCs w:val="22"/>
                <w:lang w:val="uk-UA"/>
              </w:rPr>
              <w:t>Комунікація і пропаганда в міжнародних відносинах</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5,5</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залік</w:t>
            </w:r>
          </w:p>
        </w:tc>
      </w:tr>
      <w:tr w:rsidR="00A06500" w:rsidRPr="00A06500" w:rsidTr="009A573B">
        <w:tc>
          <w:tcPr>
            <w:tcW w:w="6366" w:type="dxa"/>
            <w:gridSpan w:val="2"/>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cs="Times New Roman CYR"/>
                <w:sz w:val="22"/>
                <w:szCs w:val="22"/>
                <w:lang w:val="uk-UA"/>
              </w:rPr>
            </w:pPr>
            <w:r w:rsidRPr="00A06500">
              <w:rPr>
                <w:rFonts w:asciiTheme="minorHAnsi" w:hAnsiTheme="minorHAnsi" w:cs="Times New Roman CYR"/>
                <w:sz w:val="22"/>
                <w:szCs w:val="22"/>
                <w:lang w:val="uk-UA"/>
              </w:rPr>
              <w:t xml:space="preserve">Всього </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46</w:t>
            </w:r>
          </w:p>
        </w:tc>
        <w:tc>
          <w:tcPr>
            <w:tcW w:w="1882" w:type="dxa"/>
            <w:gridSpan w:val="3"/>
            <w:tcBorders>
              <w:top w:val="single" w:sz="4" w:space="0" w:color="000000"/>
              <w:left w:val="single" w:sz="4" w:space="0" w:color="000000"/>
              <w:bottom w:val="single" w:sz="4" w:space="0" w:color="000000"/>
              <w:right w:val="single" w:sz="4" w:space="0" w:color="000000"/>
            </w:tcBorders>
          </w:tcPr>
          <w:p w:rsidR="00A06500" w:rsidRPr="00A06500" w:rsidRDefault="00A06500" w:rsidP="00B6777C">
            <w:pPr>
              <w:jc w:val="center"/>
              <w:rPr>
                <w:rFonts w:asciiTheme="minorHAnsi" w:hAnsiTheme="minorHAnsi"/>
                <w:sz w:val="22"/>
                <w:szCs w:val="22"/>
                <w:lang w:val="uk-UA"/>
              </w:rPr>
            </w:pPr>
          </w:p>
        </w:tc>
      </w:tr>
      <w:tr w:rsidR="00A06500" w:rsidRPr="00A06500" w:rsidTr="009A573B">
        <w:tc>
          <w:tcPr>
            <w:tcW w:w="6366" w:type="dxa"/>
            <w:gridSpan w:val="2"/>
            <w:tcBorders>
              <w:top w:val="single" w:sz="4" w:space="0" w:color="000000"/>
              <w:left w:val="single" w:sz="4" w:space="0" w:color="000000"/>
              <w:bottom w:val="single" w:sz="4" w:space="0" w:color="000000"/>
              <w:right w:val="nil"/>
            </w:tcBorders>
            <w:vAlign w:val="center"/>
          </w:tcPr>
          <w:p w:rsidR="00A06500" w:rsidRPr="00A06500" w:rsidRDefault="00A06500" w:rsidP="00B6777C">
            <w:pPr>
              <w:rPr>
                <w:rFonts w:asciiTheme="minorHAnsi" w:hAnsiTheme="minorHAnsi"/>
                <w:sz w:val="22"/>
                <w:szCs w:val="22"/>
                <w:lang w:val="uk-UA"/>
              </w:rPr>
            </w:pPr>
            <w:r w:rsidRPr="00A06500">
              <w:rPr>
                <w:rFonts w:asciiTheme="minorHAnsi" w:hAnsiTheme="minorHAnsi"/>
                <w:b/>
                <w:sz w:val="22"/>
                <w:szCs w:val="22"/>
                <w:lang w:val="uk-UA"/>
              </w:rPr>
              <w:t>ЗАГАЛЬНИЙ ОБСЯГ ОСВІТНЬОЇ ПРОГРАМИ</w:t>
            </w:r>
          </w:p>
        </w:tc>
        <w:tc>
          <w:tcPr>
            <w:tcW w:w="1667" w:type="dxa"/>
            <w:tcBorders>
              <w:top w:val="single" w:sz="4" w:space="0" w:color="000000"/>
              <w:left w:val="single" w:sz="4" w:space="0" w:color="000000"/>
              <w:bottom w:val="single" w:sz="4" w:space="0" w:color="000000"/>
              <w:right w:val="nil"/>
            </w:tcBorders>
            <w:vAlign w:val="center"/>
          </w:tcPr>
          <w:p w:rsidR="00A06500" w:rsidRPr="00A06500" w:rsidRDefault="00A06500" w:rsidP="00B6777C">
            <w:pPr>
              <w:snapToGrid w:val="0"/>
              <w:jc w:val="center"/>
              <w:rPr>
                <w:rFonts w:asciiTheme="minorHAnsi" w:hAnsiTheme="minorHAnsi"/>
                <w:sz w:val="22"/>
                <w:szCs w:val="22"/>
                <w:lang w:val="uk-UA"/>
              </w:rPr>
            </w:pPr>
            <w:r w:rsidRPr="00A06500">
              <w:rPr>
                <w:rFonts w:asciiTheme="minorHAnsi" w:hAnsiTheme="minorHAnsi"/>
                <w:b/>
                <w:sz w:val="22"/>
                <w:szCs w:val="22"/>
                <w:lang w:val="uk-UA"/>
              </w:rPr>
              <w:t>117</w:t>
            </w:r>
          </w:p>
        </w:tc>
        <w:tc>
          <w:tcPr>
            <w:tcW w:w="1882" w:type="dxa"/>
            <w:gridSpan w:val="3"/>
            <w:tcBorders>
              <w:top w:val="single" w:sz="4" w:space="0" w:color="000000"/>
              <w:left w:val="single" w:sz="4" w:space="0" w:color="000000"/>
              <w:bottom w:val="single" w:sz="4" w:space="0" w:color="000000"/>
              <w:right w:val="single" w:sz="4" w:space="0" w:color="000000"/>
            </w:tcBorders>
            <w:vAlign w:val="center"/>
          </w:tcPr>
          <w:p w:rsidR="00A06500" w:rsidRPr="00A06500" w:rsidRDefault="00A06500" w:rsidP="00B6777C">
            <w:pPr>
              <w:snapToGrid w:val="0"/>
              <w:jc w:val="center"/>
              <w:rPr>
                <w:rFonts w:asciiTheme="minorHAnsi" w:hAnsiTheme="minorHAnsi"/>
                <w:sz w:val="22"/>
                <w:szCs w:val="22"/>
                <w:lang w:val="uk-UA"/>
              </w:rPr>
            </w:pPr>
          </w:p>
        </w:tc>
      </w:tr>
      <w:tr w:rsidR="00A06500" w:rsidRPr="00A06500" w:rsidTr="009A573B">
        <w:trPr>
          <w:gridAfter w:val="1"/>
          <w:wAfter w:w="16" w:type="dxa"/>
        </w:trPr>
        <w:tc>
          <w:tcPr>
            <w:tcW w:w="9859" w:type="dxa"/>
            <w:gridSpan w:val="4"/>
            <w:tcMar>
              <w:top w:w="0" w:type="dxa"/>
              <w:left w:w="0" w:type="dxa"/>
              <w:bottom w:w="0" w:type="dxa"/>
              <w:right w:w="0" w:type="dxa"/>
            </w:tcMar>
          </w:tcPr>
          <w:p w:rsidR="00A06500" w:rsidRPr="00A06500" w:rsidRDefault="00A06500" w:rsidP="00B6777C">
            <w:pPr>
              <w:pStyle w:val="a0"/>
              <w:snapToGrid w:val="0"/>
              <w:spacing w:line="276" w:lineRule="auto"/>
              <w:rPr>
                <w:rFonts w:asciiTheme="minorHAnsi" w:hAnsiTheme="minorHAnsi"/>
                <w:sz w:val="22"/>
                <w:szCs w:val="22"/>
                <w:lang w:val="uk-UA"/>
              </w:rPr>
            </w:pPr>
          </w:p>
        </w:tc>
        <w:tc>
          <w:tcPr>
            <w:tcW w:w="40" w:type="dxa"/>
            <w:tcMar>
              <w:top w:w="0" w:type="dxa"/>
              <w:left w:w="0" w:type="dxa"/>
              <w:bottom w:w="0" w:type="dxa"/>
              <w:right w:w="0" w:type="dxa"/>
            </w:tcMar>
          </w:tcPr>
          <w:p w:rsidR="00A06500" w:rsidRPr="00A06500" w:rsidRDefault="00A06500" w:rsidP="00B6777C">
            <w:pPr>
              <w:snapToGrid w:val="0"/>
              <w:rPr>
                <w:rFonts w:asciiTheme="minorHAnsi" w:hAnsiTheme="minorHAnsi"/>
                <w:sz w:val="22"/>
                <w:szCs w:val="22"/>
                <w:lang w:val="uk-UA"/>
              </w:rPr>
            </w:pPr>
          </w:p>
        </w:tc>
      </w:tr>
      <w:tr w:rsidR="00A06500" w:rsidRPr="00A06500" w:rsidTr="009A573B">
        <w:trPr>
          <w:gridAfter w:val="1"/>
          <w:wAfter w:w="16" w:type="dxa"/>
        </w:trPr>
        <w:tc>
          <w:tcPr>
            <w:tcW w:w="9859" w:type="dxa"/>
            <w:gridSpan w:val="4"/>
            <w:tcMar>
              <w:top w:w="0" w:type="dxa"/>
              <w:left w:w="0" w:type="dxa"/>
              <w:bottom w:w="0" w:type="dxa"/>
              <w:right w:w="0" w:type="dxa"/>
            </w:tcMar>
          </w:tcPr>
          <w:p w:rsidR="00A06500" w:rsidRPr="00A06500" w:rsidRDefault="00A06500" w:rsidP="00B6777C">
            <w:pPr>
              <w:pStyle w:val="a0"/>
              <w:snapToGrid w:val="0"/>
              <w:spacing w:line="276" w:lineRule="auto"/>
              <w:rPr>
                <w:rFonts w:asciiTheme="minorHAnsi" w:hAnsiTheme="minorHAnsi"/>
                <w:sz w:val="22"/>
                <w:szCs w:val="22"/>
                <w:lang w:val="uk-UA"/>
              </w:rPr>
            </w:pPr>
          </w:p>
        </w:tc>
        <w:tc>
          <w:tcPr>
            <w:tcW w:w="40" w:type="dxa"/>
            <w:tcMar>
              <w:top w:w="0" w:type="dxa"/>
              <w:left w:w="0" w:type="dxa"/>
              <w:bottom w:w="0" w:type="dxa"/>
              <w:right w:w="0" w:type="dxa"/>
            </w:tcMar>
          </w:tcPr>
          <w:p w:rsidR="00A06500" w:rsidRPr="00A06500" w:rsidRDefault="00A06500" w:rsidP="00B6777C">
            <w:pPr>
              <w:snapToGrid w:val="0"/>
              <w:rPr>
                <w:rFonts w:asciiTheme="minorHAnsi" w:hAnsiTheme="minorHAnsi"/>
                <w:sz w:val="22"/>
                <w:szCs w:val="22"/>
                <w:lang w:val="uk-UA"/>
              </w:rPr>
            </w:pPr>
          </w:p>
        </w:tc>
      </w:tr>
    </w:tbl>
    <w:p w:rsidR="00A06500" w:rsidRPr="00A06500" w:rsidRDefault="00A06500" w:rsidP="00B6777C">
      <w:pPr>
        <w:numPr>
          <w:ilvl w:val="1"/>
          <w:numId w:val="20"/>
        </w:numPr>
        <w:suppressAutoHyphens/>
        <w:jc w:val="center"/>
        <w:rPr>
          <w:rFonts w:asciiTheme="minorHAnsi" w:hAnsiTheme="minorHAnsi"/>
          <w:b/>
          <w:sz w:val="22"/>
          <w:szCs w:val="22"/>
          <w:lang w:val="uk-UA"/>
        </w:rPr>
      </w:pPr>
      <w:r w:rsidRPr="00A06500">
        <w:rPr>
          <w:rFonts w:asciiTheme="minorHAnsi" w:hAnsiTheme="minorHAnsi"/>
          <w:b/>
          <w:sz w:val="22"/>
          <w:szCs w:val="22"/>
          <w:lang w:val="uk-UA"/>
        </w:rPr>
        <w:t>Структурно-логічна схема ОП</w:t>
      </w:r>
    </w:p>
    <w:p w:rsidR="00A06500" w:rsidRPr="00A06500" w:rsidRDefault="00A06500" w:rsidP="00B6777C">
      <w:pPr>
        <w:ind w:left="720"/>
        <w:rPr>
          <w:rFonts w:asciiTheme="minorHAnsi" w:hAnsiTheme="minorHAnsi"/>
          <w:b/>
          <w:sz w:val="22"/>
          <w:szCs w:val="22"/>
          <w:lang w:val="uk-UA"/>
        </w:rPr>
      </w:pPr>
    </w:p>
    <w:tbl>
      <w:tblPr>
        <w:tblStyle w:val="TableGrid"/>
        <w:tblW w:w="0" w:type="auto"/>
        <w:tblLook w:val="01E0" w:firstRow="1" w:lastRow="1" w:firstColumn="1" w:lastColumn="1" w:noHBand="0" w:noVBand="0"/>
      </w:tblPr>
      <w:tblGrid>
        <w:gridCol w:w="3259"/>
        <w:gridCol w:w="3260"/>
        <w:gridCol w:w="3260"/>
      </w:tblGrid>
      <w:tr w:rsidR="00A06500" w:rsidRPr="00A06500" w:rsidTr="009A573B">
        <w:tc>
          <w:tcPr>
            <w:tcW w:w="6519" w:type="dxa"/>
            <w:gridSpan w:val="2"/>
            <w:vAlign w:val="center"/>
          </w:tcPr>
          <w:p w:rsidR="00A06500" w:rsidRPr="00A06500" w:rsidRDefault="00A06500" w:rsidP="00B6777C">
            <w:pPr>
              <w:jc w:val="center"/>
              <w:rPr>
                <w:rFonts w:asciiTheme="minorHAnsi" w:hAnsiTheme="minorHAnsi"/>
                <w:b/>
                <w:sz w:val="22"/>
                <w:szCs w:val="22"/>
                <w:lang w:val="uk-UA"/>
              </w:rPr>
            </w:pPr>
            <w:r w:rsidRPr="00A06500">
              <w:rPr>
                <w:rFonts w:asciiTheme="minorHAnsi" w:hAnsiTheme="minorHAnsi"/>
                <w:b/>
                <w:sz w:val="22"/>
                <w:szCs w:val="22"/>
                <w:lang w:val="uk-UA"/>
              </w:rPr>
              <w:t>1 курс</w:t>
            </w:r>
          </w:p>
        </w:tc>
        <w:tc>
          <w:tcPr>
            <w:tcW w:w="3260" w:type="dxa"/>
            <w:vAlign w:val="center"/>
          </w:tcPr>
          <w:p w:rsidR="00A06500" w:rsidRPr="00A06500" w:rsidRDefault="00A06500" w:rsidP="00B6777C">
            <w:pPr>
              <w:jc w:val="center"/>
              <w:rPr>
                <w:rFonts w:asciiTheme="minorHAnsi" w:hAnsiTheme="minorHAnsi"/>
                <w:b/>
                <w:sz w:val="22"/>
                <w:szCs w:val="22"/>
                <w:lang w:val="uk-UA"/>
              </w:rPr>
            </w:pPr>
            <w:r w:rsidRPr="00A06500">
              <w:rPr>
                <w:rFonts w:asciiTheme="minorHAnsi" w:hAnsiTheme="minorHAnsi"/>
                <w:b/>
                <w:sz w:val="22"/>
                <w:szCs w:val="22"/>
                <w:lang w:val="uk-UA"/>
              </w:rPr>
              <w:t>2 курс</w:t>
            </w:r>
          </w:p>
        </w:tc>
      </w:tr>
      <w:tr w:rsidR="00A06500" w:rsidRPr="00A06500" w:rsidTr="009A573B">
        <w:tc>
          <w:tcPr>
            <w:tcW w:w="3259" w:type="dxa"/>
            <w:vAlign w:val="center"/>
          </w:tcPr>
          <w:p w:rsidR="00A06500" w:rsidRPr="00A06500" w:rsidRDefault="00A06500" w:rsidP="00B6777C">
            <w:pPr>
              <w:jc w:val="center"/>
              <w:rPr>
                <w:rFonts w:asciiTheme="minorHAnsi" w:hAnsiTheme="minorHAnsi"/>
                <w:b/>
                <w:sz w:val="22"/>
                <w:szCs w:val="22"/>
                <w:lang w:val="uk-UA"/>
              </w:rPr>
            </w:pPr>
            <w:r w:rsidRPr="00A06500">
              <w:rPr>
                <w:rFonts w:asciiTheme="minorHAnsi" w:hAnsiTheme="minorHAnsi"/>
                <w:b/>
                <w:sz w:val="22"/>
                <w:szCs w:val="22"/>
                <w:lang w:val="uk-UA"/>
              </w:rPr>
              <w:t>1 семестр</w:t>
            </w:r>
          </w:p>
        </w:tc>
        <w:tc>
          <w:tcPr>
            <w:tcW w:w="3260" w:type="dxa"/>
            <w:vAlign w:val="center"/>
          </w:tcPr>
          <w:p w:rsidR="00A06500" w:rsidRPr="00A06500" w:rsidRDefault="00A06500" w:rsidP="00B6777C">
            <w:pPr>
              <w:jc w:val="center"/>
              <w:rPr>
                <w:rFonts w:asciiTheme="minorHAnsi" w:hAnsiTheme="minorHAnsi"/>
                <w:b/>
                <w:sz w:val="22"/>
                <w:szCs w:val="22"/>
                <w:lang w:val="uk-UA"/>
              </w:rPr>
            </w:pPr>
            <w:r w:rsidRPr="00A06500">
              <w:rPr>
                <w:rFonts w:asciiTheme="minorHAnsi" w:hAnsiTheme="minorHAnsi"/>
                <w:b/>
                <w:sz w:val="22"/>
                <w:szCs w:val="22"/>
                <w:lang w:val="uk-UA"/>
              </w:rPr>
              <w:t>2 семестр</w:t>
            </w:r>
          </w:p>
        </w:tc>
        <w:tc>
          <w:tcPr>
            <w:tcW w:w="3260" w:type="dxa"/>
            <w:vAlign w:val="center"/>
          </w:tcPr>
          <w:p w:rsidR="00A06500" w:rsidRPr="00A06500" w:rsidRDefault="00A06500" w:rsidP="00B6777C">
            <w:pPr>
              <w:jc w:val="center"/>
              <w:rPr>
                <w:rFonts w:asciiTheme="minorHAnsi" w:hAnsiTheme="minorHAnsi"/>
                <w:b/>
                <w:sz w:val="22"/>
                <w:szCs w:val="22"/>
                <w:lang w:val="uk-UA"/>
              </w:rPr>
            </w:pPr>
            <w:r w:rsidRPr="00A06500">
              <w:rPr>
                <w:rFonts w:asciiTheme="minorHAnsi" w:hAnsiTheme="minorHAnsi"/>
                <w:b/>
                <w:sz w:val="22"/>
                <w:szCs w:val="22"/>
                <w:lang w:val="uk-UA"/>
              </w:rPr>
              <w:t>3 семестр</w:t>
            </w:r>
          </w:p>
        </w:tc>
      </w:tr>
      <w:tr w:rsidR="00A06500" w:rsidRPr="00A06500" w:rsidTr="009A573B">
        <w:tc>
          <w:tcPr>
            <w:tcW w:w="3259" w:type="dxa"/>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Аналіз і прогнозування зовнішньої політики</w:t>
            </w:r>
          </w:p>
        </w:tc>
        <w:tc>
          <w:tcPr>
            <w:tcW w:w="3260" w:type="dxa"/>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Дипломатична служба і консульські установи України</w:t>
            </w:r>
          </w:p>
        </w:tc>
        <w:tc>
          <w:tcPr>
            <w:tcW w:w="3260" w:type="dxa"/>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Методика викладання у вищій школі</w:t>
            </w:r>
          </w:p>
        </w:tc>
      </w:tr>
      <w:tr w:rsidR="00A06500" w:rsidRPr="00A06500" w:rsidTr="009A573B">
        <w:tc>
          <w:tcPr>
            <w:tcW w:w="3259" w:type="dxa"/>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Національна і регіональна безпека</w:t>
            </w:r>
          </w:p>
        </w:tc>
        <w:tc>
          <w:tcPr>
            <w:tcW w:w="3260" w:type="dxa"/>
            <w:vAlign w:val="center"/>
          </w:tcPr>
          <w:p w:rsidR="00A06500" w:rsidRPr="00A06500" w:rsidRDefault="00946D5C" w:rsidP="00B6777C">
            <w:pPr>
              <w:jc w:val="center"/>
              <w:rPr>
                <w:rFonts w:asciiTheme="minorHAnsi" w:hAnsiTheme="minorHAnsi"/>
                <w:sz w:val="22"/>
                <w:szCs w:val="22"/>
                <w:lang w:val="uk-UA"/>
              </w:rPr>
            </w:pPr>
            <w:r w:rsidRPr="00946D5C">
              <w:rPr>
                <w:rFonts w:asciiTheme="minorHAnsi" w:hAnsiTheme="minorHAnsi"/>
                <w:sz w:val="22"/>
                <w:szCs w:val="22"/>
                <w:lang w:val="uk-UA"/>
              </w:rPr>
              <w:t>Транскордонне співробітництво у Європі</w:t>
            </w:r>
          </w:p>
        </w:tc>
        <w:tc>
          <w:tcPr>
            <w:tcW w:w="3260" w:type="dxa"/>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ДС Теоретичний семінар</w:t>
            </w:r>
          </w:p>
        </w:tc>
      </w:tr>
      <w:tr w:rsidR="00A06500" w:rsidRPr="00A06500" w:rsidTr="009A573B">
        <w:tc>
          <w:tcPr>
            <w:tcW w:w="3259" w:type="dxa"/>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Іноземна мова для наукової комунікації</w:t>
            </w:r>
          </w:p>
        </w:tc>
        <w:tc>
          <w:tcPr>
            <w:tcW w:w="3260" w:type="dxa"/>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ДС Теорія кооперації та інтеграції</w:t>
            </w:r>
          </w:p>
        </w:tc>
        <w:tc>
          <w:tcPr>
            <w:tcW w:w="3260" w:type="dxa"/>
            <w:vAlign w:val="center"/>
          </w:tcPr>
          <w:p w:rsidR="00A06500" w:rsidRPr="00A06500" w:rsidRDefault="00946D5C" w:rsidP="00B6777C">
            <w:pPr>
              <w:jc w:val="center"/>
              <w:rPr>
                <w:rFonts w:asciiTheme="minorHAnsi" w:hAnsiTheme="minorHAnsi"/>
                <w:sz w:val="22"/>
                <w:szCs w:val="22"/>
                <w:lang w:val="uk-UA"/>
              </w:rPr>
            </w:pPr>
            <w:r w:rsidRPr="00946D5C">
              <w:rPr>
                <w:rFonts w:asciiTheme="minorHAnsi" w:hAnsiTheme="minorHAnsi"/>
                <w:sz w:val="22"/>
                <w:szCs w:val="22"/>
                <w:lang w:val="uk-UA"/>
              </w:rPr>
              <w:t>Місцеве врядування й громадянське суспільство</w:t>
            </w:r>
          </w:p>
        </w:tc>
      </w:tr>
      <w:tr w:rsidR="00A06500" w:rsidRPr="00A06500" w:rsidTr="009A573B">
        <w:tc>
          <w:tcPr>
            <w:tcW w:w="3259" w:type="dxa"/>
            <w:vAlign w:val="center"/>
          </w:tcPr>
          <w:p w:rsidR="00A06500" w:rsidRPr="00A06500" w:rsidRDefault="00946D5C" w:rsidP="00B6777C">
            <w:pPr>
              <w:jc w:val="center"/>
              <w:rPr>
                <w:rFonts w:asciiTheme="minorHAnsi" w:hAnsiTheme="minorHAnsi"/>
                <w:sz w:val="22"/>
                <w:szCs w:val="22"/>
                <w:lang w:val="uk-UA"/>
              </w:rPr>
            </w:pPr>
            <w:proofErr w:type="spellStart"/>
            <w:r w:rsidRPr="00946D5C">
              <w:rPr>
                <w:rFonts w:asciiTheme="minorHAnsi" w:hAnsiTheme="minorHAnsi"/>
                <w:sz w:val="22"/>
                <w:szCs w:val="22"/>
                <w:lang w:val="uk-UA"/>
              </w:rPr>
              <w:t>Субнаціональний</w:t>
            </w:r>
            <w:proofErr w:type="spellEnd"/>
            <w:r w:rsidRPr="00946D5C">
              <w:rPr>
                <w:rFonts w:asciiTheme="minorHAnsi" w:hAnsiTheme="minorHAnsi"/>
                <w:sz w:val="22"/>
                <w:szCs w:val="22"/>
                <w:lang w:val="uk-UA"/>
              </w:rPr>
              <w:t xml:space="preserve"> вимір ЄС</w:t>
            </w:r>
          </w:p>
        </w:tc>
        <w:tc>
          <w:tcPr>
            <w:tcW w:w="3260" w:type="dxa"/>
            <w:vAlign w:val="center"/>
          </w:tcPr>
          <w:p w:rsidR="00A06500" w:rsidRPr="00A06500" w:rsidRDefault="00946D5C" w:rsidP="00B6777C">
            <w:pPr>
              <w:rPr>
                <w:rFonts w:asciiTheme="minorHAnsi" w:hAnsiTheme="minorHAnsi"/>
                <w:sz w:val="22"/>
                <w:szCs w:val="22"/>
                <w:lang w:val="uk-UA"/>
              </w:rPr>
            </w:pPr>
            <w:r w:rsidRPr="00946D5C">
              <w:rPr>
                <w:rFonts w:asciiTheme="minorHAnsi" w:hAnsiTheme="minorHAnsi"/>
                <w:sz w:val="22"/>
                <w:szCs w:val="22"/>
                <w:lang w:val="uk-UA"/>
              </w:rPr>
              <w:t>Теорії регіонального розвитку</w:t>
            </w:r>
          </w:p>
        </w:tc>
        <w:tc>
          <w:tcPr>
            <w:tcW w:w="3260" w:type="dxa"/>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Педагогічна (асистентська) практика</w:t>
            </w:r>
          </w:p>
        </w:tc>
      </w:tr>
      <w:tr w:rsidR="00A06500" w:rsidRPr="00A06500" w:rsidTr="009A573B">
        <w:tc>
          <w:tcPr>
            <w:tcW w:w="3259" w:type="dxa"/>
            <w:vAlign w:val="center"/>
          </w:tcPr>
          <w:p w:rsidR="00A06500" w:rsidRPr="00A06500" w:rsidRDefault="00946D5C" w:rsidP="00B6777C">
            <w:pPr>
              <w:jc w:val="center"/>
              <w:rPr>
                <w:rFonts w:asciiTheme="minorHAnsi" w:hAnsiTheme="minorHAnsi"/>
                <w:sz w:val="22"/>
                <w:szCs w:val="22"/>
                <w:lang w:val="uk-UA"/>
              </w:rPr>
            </w:pPr>
            <w:r w:rsidRPr="00946D5C">
              <w:rPr>
                <w:rFonts w:asciiTheme="minorHAnsi" w:hAnsiTheme="minorHAnsi"/>
                <w:sz w:val="22"/>
                <w:szCs w:val="22"/>
                <w:lang w:val="uk-UA"/>
              </w:rPr>
              <w:t>Теорія кооперації та інтеграції</w:t>
            </w:r>
          </w:p>
        </w:tc>
        <w:tc>
          <w:tcPr>
            <w:tcW w:w="3260" w:type="dxa"/>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ДВВС Управління міжнародними проектами</w:t>
            </w:r>
          </w:p>
        </w:tc>
        <w:tc>
          <w:tcPr>
            <w:tcW w:w="3260" w:type="dxa"/>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Виробнича (переддипломна) практика</w:t>
            </w:r>
          </w:p>
        </w:tc>
      </w:tr>
      <w:tr w:rsidR="00A06500" w:rsidRPr="00A06500" w:rsidTr="009A573B">
        <w:tc>
          <w:tcPr>
            <w:tcW w:w="3259" w:type="dxa"/>
            <w:vAlign w:val="center"/>
          </w:tcPr>
          <w:p w:rsidR="00A06500" w:rsidRPr="00A06500" w:rsidRDefault="00946D5C" w:rsidP="00B6777C">
            <w:pPr>
              <w:jc w:val="center"/>
              <w:rPr>
                <w:rFonts w:asciiTheme="minorHAnsi" w:hAnsiTheme="minorHAnsi"/>
                <w:sz w:val="22"/>
                <w:szCs w:val="22"/>
                <w:lang w:val="uk-UA"/>
              </w:rPr>
            </w:pPr>
            <w:r w:rsidRPr="00946D5C">
              <w:rPr>
                <w:rFonts w:asciiTheme="minorHAnsi" w:hAnsiTheme="minorHAnsi"/>
                <w:sz w:val="22"/>
                <w:szCs w:val="22"/>
                <w:lang w:val="uk-UA"/>
              </w:rPr>
              <w:t>Транскордонне співробітництво у Європі</w:t>
            </w:r>
          </w:p>
        </w:tc>
        <w:tc>
          <w:tcPr>
            <w:tcW w:w="3260" w:type="dxa"/>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ДВВС Еліти у міжнародних відносинах</w:t>
            </w:r>
          </w:p>
        </w:tc>
        <w:tc>
          <w:tcPr>
            <w:tcW w:w="3260" w:type="dxa"/>
            <w:vAlign w:val="center"/>
          </w:tcPr>
          <w:p w:rsidR="00A06500" w:rsidRPr="00A06500" w:rsidRDefault="00A06500" w:rsidP="00B6777C">
            <w:pPr>
              <w:jc w:val="center"/>
              <w:rPr>
                <w:rFonts w:asciiTheme="minorHAnsi" w:hAnsiTheme="minorHAnsi"/>
                <w:sz w:val="22"/>
                <w:szCs w:val="22"/>
                <w:lang w:val="uk-UA"/>
              </w:rPr>
            </w:pPr>
          </w:p>
        </w:tc>
      </w:tr>
      <w:tr w:rsidR="00A06500" w:rsidRPr="00A06500" w:rsidTr="009A573B">
        <w:tc>
          <w:tcPr>
            <w:tcW w:w="3259" w:type="dxa"/>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ДВВС Моделювання геополітики</w:t>
            </w:r>
          </w:p>
        </w:tc>
        <w:tc>
          <w:tcPr>
            <w:tcW w:w="3260" w:type="dxa"/>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ДВВС Комунікація і пропаганда в міжнародних відносинах</w:t>
            </w:r>
          </w:p>
        </w:tc>
        <w:tc>
          <w:tcPr>
            <w:tcW w:w="3260" w:type="dxa"/>
            <w:vAlign w:val="center"/>
          </w:tcPr>
          <w:p w:rsidR="00A06500" w:rsidRPr="00A06500" w:rsidRDefault="00A06500" w:rsidP="00B6777C">
            <w:pPr>
              <w:jc w:val="center"/>
              <w:rPr>
                <w:rFonts w:asciiTheme="minorHAnsi" w:hAnsiTheme="minorHAnsi"/>
                <w:sz w:val="22"/>
                <w:szCs w:val="22"/>
                <w:lang w:val="uk-UA"/>
              </w:rPr>
            </w:pPr>
          </w:p>
        </w:tc>
      </w:tr>
      <w:tr w:rsidR="00A06500" w:rsidRPr="00A06500" w:rsidTr="009A573B">
        <w:tc>
          <w:tcPr>
            <w:tcW w:w="3259" w:type="dxa"/>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ДВВС Україна в сучасних геополітичних процесах</w:t>
            </w:r>
          </w:p>
        </w:tc>
        <w:tc>
          <w:tcPr>
            <w:tcW w:w="3260" w:type="dxa"/>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Практикум перекладу</w:t>
            </w:r>
          </w:p>
        </w:tc>
        <w:tc>
          <w:tcPr>
            <w:tcW w:w="3260" w:type="dxa"/>
            <w:vAlign w:val="center"/>
          </w:tcPr>
          <w:p w:rsidR="00A06500" w:rsidRPr="00A06500" w:rsidRDefault="00A06500" w:rsidP="00B6777C">
            <w:pPr>
              <w:jc w:val="center"/>
              <w:rPr>
                <w:rFonts w:asciiTheme="minorHAnsi" w:hAnsiTheme="minorHAnsi"/>
                <w:sz w:val="22"/>
                <w:szCs w:val="22"/>
                <w:lang w:val="uk-UA"/>
              </w:rPr>
            </w:pPr>
          </w:p>
        </w:tc>
      </w:tr>
      <w:tr w:rsidR="00A06500" w:rsidRPr="00A06500" w:rsidTr="009A573B">
        <w:tc>
          <w:tcPr>
            <w:tcW w:w="6519" w:type="dxa"/>
            <w:gridSpan w:val="2"/>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ДВВС Слов’янська мова</w:t>
            </w:r>
          </w:p>
        </w:tc>
        <w:tc>
          <w:tcPr>
            <w:tcW w:w="3260" w:type="dxa"/>
            <w:vAlign w:val="center"/>
          </w:tcPr>
          <w:p w:rsidR="00A06500" w:rsidRPr="00A06500" w:rsidRDefault="00A06500" w:rsidP="00B6777C">
            <w:pPr>
              <w:jc w:val="center"/>
              <w:rPr>
                <w:rFonts w:asciiTheme="minorHAnsi" w:hAnsiTheme="minorHAnsi"/>
                <w:sz w:val="22"/>
                <w:szCs w:val="22"/>
                <w:lang w:val="uk-UA"/>
              </w:rPr>
            </w:pPr>
          </w:p>
        </w:tc>
      </w:tr>
      <w:tr w:rsidR="00A06500" w:rsidRPr="00A06500" w:rsidTr="009A573B">
        <w:tc>
          <w:tcPr>
            <w:tcW w:w="6519" w:type="dxa"/>
            <w:gridSpan w:val="2"/>
            <w:vAlign w:val="center"/>
          </w:tcPr>
          <w:p w:rsidR="00A06500" w:rsidRPr="00A06500" w:rsidRDefault="00A06500" w:rsidP="00B6777C">
            <w:pPr>
              <w:jc w:val="center"/>
              <w:rPr>
                <w:rFonts w:asciiTheme="minorHAnsi" w:hAnsiTheme="minorHAnsi"/>
                <w:sz w:val="22"/>
                <w:szCs w:val="22"/>
                <w:lang w:val="uk-UA"/>
              </w:rPr>
            </w:pPr>
            <w:r w:rsidRPr="00A06500">
              <w:rPr>
                <w:rFonts w:asciiTheme="minorHAnsi" w:hAnsiTheme="minorHAnsi"/>
                <w:sz w:val="22"/>
                <w:szCs w:val="22"/>
                <w:lang w:val="uk-UA"/>
              </w:rPr>
              <w:t>ДВВС Польська мова</w:t>
            </w:r>
          </w:p>
        </w:tc>
        <w:tc>
          <w:tcPr>
            <w:tcW w:w="3260" w:type="dxa"/>
            <w:vAlign w:val="center"/>
          </w:tcPr>
          <w:p w:rsidR="00A06500" w:rsidRPr="00A06500" w:rsidRDefault="00A06500" w:rsidP="00B6777C">
            <w:pPr>
              <w:jc w:val="center"/>
              <w:rPr>
                <w:rFonts w:asciiTheme="minorHAnsi" w:hAnsiTheme="minorHAnsi"/>
                <w:sz w:val="22"/>
                <w:szCs w:val="22"/>
                <w:lang w:val="uk-UA"/>
              </w:rPr>
            </w:pPr>
          </w:p>
        </w:tc>
      </w:tr>
    </w:tbl>
    <w:p w:rsidR="00041A28" w:rsidRDefault="00041A28" w:rsidP="00207EE9">
      <w:pPr>
        <w:rPr>
          <w:rFonts w:asciiTheme="minorHAnsi" w:hAnsiTheme="minorHAnsi" w:cstheme="minorHAnsi"/>
          <w:b/>
          <w:bCs/>
          <w:sz w:val="24"/>
          <w:lang w:val="uk-UA"/>
        </w:rPr>
      </w:pPr>
    </w:p>
    <w:p w:rsidR="008D0E0B" w:rsidRPr="00A06500" w:rsidRDefault="008D0E0B" w:rsidP="00207EE9">
      <w:pPr>
        <w:rPr>
          <w:rFonts w:asciiTheme="minorHAnsi" w:hAnsiTheme="minorHAnsi" w:cstheme="minorHAnsi"/>
          <w:b/>
          <w:bCs/>
          <w:sz w:val="24"/>
          <w:lang w:val="uk-UA"/>
        </w:rPr>
      </w:pPr>
      <w:r w:rsidRPr="00A06500">
        <w:rPr>
          <w:rFonts w:asciiTheme="minorHAnsi" w:hAnsiTheme="minorHAnsi" w:cstheme="minorHAnsi"/>
          <w:b/>
          <w:bCs/>
          <w:sz w:val="24"/>
          <w:lang w:val="uk-UA"/>
        </w:rPr>
        <w:t>3. Форма атестації здобувачів вищої освіти</w:t>
      </w:r>
    </w:p>
    <w:p w:rsidR="008D0E0B" w:rsidRPr="00A06500" w:rsidRDefault="008D0E0B" w:rsidP="00302D10">
      <w:pPr>
        <w:ind w:firstLine="284"/>
        <w:jc w:val="both"/>
        <w:rPr>
          <w:rFonts w:asciiTheme="minorHAnsi" w:hAnsiTheme="minorHAnsi" w:cstheme="minorHAnsi"/>
          <w:sz w:val="24"/>
          <w:lang w:val="uk-UA"/>
        </w:rPr>
      </w:pPr>
      <w:r w:rsidRPr="00A06500">
        <w:rPr>
          <w:rFonts w:asciiTheme="minorHAnsi" w:hAnsiTheme="minorHAnsi" w:cstheme="minorHAnsi"/>
          <w:sz w:val="24"/>
          <w:lang w:val="uk-UA"/>
        </w:rPr>
        <w:t>Атестація здійснюється екзаменаційною комісією відповідно до вимог стандарту вищої освіти після виконання студентом навального плану та завершується видачою диплома встановленого зразка. На атестацію виноситься увесь нормативний зміст підготовки фахівця. Термін проведення атестації визначається навчальним планом та графіком освітнього процесу. Державна атестація освітньої складової освітньо-професійної програми здійснюється шляхом публічного захисту кваліфікаційної роботи/проекту магістра перед комісією, склад якої затверджується ректором університету. Захист кваліфікаційної роботи/проекту магістра проводиться у терміни, що передбачені навчальним планом. До атестації допускаються студенти, які виконали всі вимоги освітньої програми та навчального плану.</w:t>
      </w:r>
    </w:p>
    <w:p w:rsidR="008D0E0B" w:rsidRPr="00A06500" w:rsidRDefault="008D0E0B" w:rsidP="00302D10">
      <w:pPr>
        <w:ind w:firstLine="284"/>
        <w:jc w:val="both"/>
        <w:rPr>
          <w:rFonts w:asciiTheme="minorHAnsi" w:hAnsiTheme="minorHAnsi" w:cstheme="minorHAnsi"/>
          <w:sz w:val="24"/>
          <w:lang w:val="uk-UA"/>
        </w:rPr>
      </w:pPr>
      <w:r w:rsidRPr="00A06500">
        <w:rPr>
          <w:rFonts w:asciiTheme="minorHAnsi" w:hAnsiTheme="minorHAnsi" w:cstheme="minorHAnsi"/>
          <w:sz w:val="24"/>
          <w:lang w:val="uk-UA"/>
        </w:rPr>
        <w:t xml:space="preserve">Результати атестації визначаються оцінками за національною шкалою «відмінно», «добре», «задовільно», «незадовільно». Кваліфікаційний проект (кваліфікаційна робота) має передбачати </w:t>
      </w:r>
      <w:r w:rsidRPr="00A06500">
        <w:rPr>
          <w:rFonts w:asciiTheme="minorHAnsi" w:hAnsiTheme="minorHAnsi" w:cstheme="minorHAnsi"/>
          <w:sz w:val="24"/>
          <w:lang w:val="uk-UA"/>
        </w:rPr>
        <w:lastRenderedPageBreak/>
        <w:t>розв’язання складного спеціалізованого завдання або практичної проблеми в галузі міжнародних економічних відносин, що характеризується комплексністю та невизначеністю умов.</w:t>
      </w:r>
    </w:p>
    <w:p w:rsidR="008D0E0B" w:rsidRPr="00A06500" w:rsidRDefault="008D0E0B" w:rsidP="00302D10">
      <w:pPr>
        <w:ind w:firstLine="284"/>
        <w:jc w:val="both"/>
        <w:rPr>
          <w:rFonts w:asciiTheme="minorHAnsi" w:hAnsiTheme="minorHAnsi" w:cstheme="minorHAnsi"/>
          <w:sz w:val="24"/>
          <w:lang w:val="uk-UA"/>
        </w:rPr>
      </w:pPr>
      <w:r w:rsidRPr="00A06500">
        <w:rPr>
          <w:rFonts w:asciiTheme="minorHAnsi" w:hAnsiTheme="minorHAnsi" w:cstheme="minorHAnsi"/>
          <w:sz w:val="24"/>
          <w:lang w:val="uk-UA"/>
        </w:rPr>
        <w:t>Кваліфікаційний проект (кваліфікаційна робота) – це логічне завершення дослідження певного об’єкту – матеріального (системи, обладнання, пристрою тощо) або нематеріального (певного процесу, програмного продукту або інформаційної технології, інтелектуального твору тощо), його характеристик, властивостей (що є предметом дослідження).</w:t>
      </w:r>
    </w:p>
    <w:p w:rsidR="008D0E0B" w:rsidRPr="00A06500" w:rsidRDefault="008D0E0B" w:rsidP="00302D10">
      <w:pPr>
        <w:ind w:firstLine="284"/>
        <w:jc w:val="both"/>
        <w:rPr>
          <w:rFonts w:asciiTheme="minorHAnsi" w:hAnsiTheme="minorHAnsi" w:cstheme="minorHAnsi"/>
          <w:sz w:val="24"/>
          <w:lang w:val="uk-UA"/>
        </w:rPr>
      </w:pPr>
      <w:r w:rsidRPr="00A06500">
        <w:rPr>
          <w:rFonts w:asciiTheme="minorHAnsi" w:hAnsiTheme="minorHAnsi" w:cstheme="minorHAnsi"/>
          <w:sz w:val="24"/>
          <w:lang w:val="uk-UA"/>
        </w:rPr>
        <w:t>Кваліфікаційний проект (кваліфікаційна робота) – це самостійна індивідуальна робота з елементами дослідництва й інновацій, яка є підсумком теоретичної та практичної підготовки в рамках нормативної та варіативної складових освітньо-професійної програми підготовки магістра.</w:t>
      </w:r>
    </w:p>
    <w:p w:rsidR="008D0E0B" w:rsidRPr="00A06500" w:rsidRDefault="008D0E0B" w:rsidP="00302D10">
      <w:pPr>
        <w:ind w:firstLine="284"/>
        <w:jc w:val="both"/>
        <w:rPr>
          <w:rFonts w:asciiTheme="minorHAnsi" w:hAnsiTheme="minorHAnsi" w:cstheme="minorHAnsi"/>
          <w:sz w:val="24"/>
          <w:lang w:val="uk-UA"/>
        </w:rPr>
      </w:pPr>
      <w:r w:rsidRPr="00A06500">
        <w:rPr>
          <w:rFonts w:asciiTheme="minorHAnsi" w:hAnsiTheme="minorHAnsi" w:cstheme="minorHAnsi"/>
          <w:sz w:val="24"/>
          <w:lang w:val="uk-UA"/>
        </w:rPr>
        <w:t>В обов’язковому порядку пояснювальна записка кваліфікаційного проекту (кваліфікаційної роботи) магістра повинна містити розроблені студентом алгоритми, моделі, програми, схеми організації баз даних, функціональні та структурні схеми, лістинг програми чи програмного комплексу, інші види технічного опису особистих фахових рішень.</w:t>
      </w:r>
    </w:p>
    <w:p w:rsidR="008D0E0B" w:rsidRPr="00A06500" w:rsidRDefault="008D0E0B" w:rsidP="00302D10">
      <w:pPr>
        <w:ind w:firstLine="284"/>
        <w:jc w:val="both"/>
        <w:rPr>
          <w:rFonts w:asciiTheme="minorHAnsi" w:hAnsiTheme="minorHAnsi" w:cstheme="minorHAnsi"/>
          <w:sz w:val="24"/>
          <w:lang w:val="uk-UA"/>
        </w:rPr>
      </w:pPr>
      <w:r w:rsidRPr="00A06500">
        <w:rPr>
          <w:rFonts w:asciiTheme="minorHAnsi" w:hAnsiTheme="minorHAnsi" w:cstheme="minorHAnsi"/>
          <w:sz w:val="24"/>
          <w:lang w:val="uk-UA"/>
        </w:rPr>
        <w:t>Завдання на кваліфікаційний проект (кваліфікаційну роботу)має відображати систему компетенцій, виробничі функції та типові задачі діяльності, що визначені в освітньо-професійній програмі. Кваліфікаційний проект (кваліфікаційна робота) має бути перевірений на плагіат. Кваліфікаційний проект (кваліфікаційна робота) має бути розміщений на сайті вищого навчального закладу.</w:t>
      </w:r>
    </w:p>
    <w:p w:rsidR="008D0E0B" w:rsidRPr="00A06500" w:rsidRDefault="008D0E0B" w:rsidP="00302D10">
      <w:pPr>
        <w:ind w:firstLine="284"/>
        <w:jc w:val="both"/>
        <w:rPr>
          <w:rFonts w:asciiTheme="minorHAnsi" w:hAnsiTheme="minorHAnsi" w:cstheme="minorHAnsi"/>
          <w:sz w:val="24"/>
          <w:lang w:val="uk-UA"/>
        </w:rPr>
      </w:pPr>
      <w:r w:rsidRPr="00A06500">
        <w:rPr>
          <w:rFonts w:asciiTheme="minorHAnsi" w:hAnsiTheme="minorHAnsi" w:cstheme="minorHAnsi"/>
          <w:sz w:val="24"/>
          <w:lang w:val="uk-UA"/>
        </w:rPr>
        <w:t>Атестація здійснюється відкрито і публічно.</w:t>
      </w:r>
    </w:p>
    <w:p w:rsidR="008D0E0B" w:rsidRPr="00A06500" w:rsidRDefault="008D0E0B" w:rsidP="00302D10">
      <w:pPr>
        <w:ind w:firstLine="284"/>
        <w:jc w:val="both"/>
        <w:rPr>
          <w:rFonts w:asciiTheme="minorHAnsi" w:hAnsiTheme="minorHAnsi" w:cstheme="minorHAnsi"/>
          <w:lang w:val="uk-UA"/>
        </w:rPr>
        <w:sectPr w:rsidR="008D0E0B" w:rsidRPr="00A06500" w:rsidSect="00B17FCE">
          <w:pgSz w:w="11906" w:h="16838"/>
          <w:pgMar w:top="720" w:right="720" w:bottom="720" w:left="720" w:header="708" w:footer="708" w:gutter="0"/>
          <w:cols w:space="708"/>
          <w:docGrid w:linePitch="381"/>
        </w:sectPr>
      </w:pPr>
    </w:p>
    <w:p w:rsidR="008D0E0B" w:rsidRPr="00A06500" w:rsidRDefault="008D0E0B" w:rsidP="00207EE9">
      <w:pPr>
        <w:rPr>
          <w:rFonts w:asciiTheme="minorHAnsi" w:hAnsiTheme="minorHAnsi" w:cstheme="minorHAnsi"/>
          <w:b/>
          <w:bCs/>
          <w:sz w:val="24"/>
          <w:szCs w:val="24"/>
          <w:lang w:val="uk-UA"/>
        </w:rPr>
      </w:pPr>
      <w:r w:rsidRPr="00A06500">
        <w:rPr>
          <w:rFonts w:asciiTheme="minorHAnsi" w:hAnsiTheme="minorHAnsi" w:cstheme="minorHAnsi"/>
          <w:b/>
          <w:bCs/>
          <w:sz w:val="24"/>
          <w:szCs w:val="24"/>
          <w:lang w:val="uk-UA"/>
        </w:rPr>
        <w:lastRenderedPageBreak/>
        <w:t xml:space="preserve">4. Матриця відповідності програмних </w:t>
      </w:r>
      <w:proofErr w:type="spellStart"/>
      <w:r w:rsidRPr="00A06500">
        <w:rPr>
          <w:rFonts w:asciiTheme="minorHAnsi" w:hAnsiTheme="minorHAnsi" w:cstheme="minorHAnsi"/>
          <w:b/>
          <w:bCs/>
          <w:sz w:val="24"/>
          <w:szCs w:val="24"/>
          <w:lang w:val="uk-UA"/>
        </w:rPr>
        <w:t>компетентностей</w:t>
      </w:r>
      <w:proofErr w:type="spellEnd"/>
      <w:r w:rsidRPr="00A06500">
        <w:rPr>
          <w:rFonts w:asciiTheme="minorHAnsi" w:hAnsiTheme="minorHAnsi" w:cstheme="minorHAnsi"/>
          <w:b/>
          <w:bCs/>
          <w:sz w:val="24"/>
          <w:szCs w:val="24"/>
          <w:lang w:val="uk-UA"/>
        </w:rPr>
        <w:t xml:space="preserve"> компонентам освітньої програми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65"/>
        <w:gridCol w:w="464"/>
        <w:gridCol w:w="471"/>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72"/>
        <w:gridCol w:w="464"/>
      </w:tblGrid>
      <w:tr w:rsidR="008D0E0B" w:rsidRPr="00A06500">
        <w:trPr>
          <w:cantSplit/>
          <w:trHeight w:val="654"/>
        </w:trPr>
        <w:tc>
          <w:tcPr>
            <w:tcW w:w="307"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0"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1</w:t>
            </w:r>
          </w:p>
        </w:tc>
        <w:tc>
          <w:tcPr>
            <w:tcW w:w="154"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2</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3</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4</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5</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6</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7</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8</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9</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10</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11</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12</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13</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14</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15</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16</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17</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18</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19</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20</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21</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22</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23</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24</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25</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26</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27</w:t>
            </w:r>
          </w:p>
        </w:tc>
        <w:tc>
          <w:tcPr>
            <w:tcW w:w="162"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28</w:t>
            </w:r>
          </w:p>
        </w:tc>
        <w:tc>
          <w:tcPr>
            <w:tcW w:w="158" w:type="pct"/>
            <w:textDirection w:val="btLr"/>
          </w:tcPr>
          <w:p w:rsidR="008D0E0B" w:rsidRPr="00A06500" w:rsidRDefault="008D0E0B" w:rsidP="00207EE9">
            <w:pPr>
              <w:spacing w:line="216"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ОК 29</w:t>
            </w:r>
          </w:p>
        </w:tc>
      </w:tr>
      <w:tr w:rsidR="008D0E0B" w:rsidRPr="00A06500">
        <w:trPr>
          <w:cantSplit/>
          <w:trHeight w:val="417"/>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ЗК</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1</w:t>
            </w:r>
          </w:p>
        </w:tc>
        <w:tc>
          <w:tcPr>
            <w:tcW w:w="160" w:type="pct"/>
            <w:textDirection w:val="btLr"/>
          </w:tcPr>
          <w:p w:rsidR="008D0E0B" w:rsidRPr="00A06500" w:rsidRDefault="008D0E0B" w:rsidP="00207EE9">
            <w:pPr>
              <w:spacing w:line="216" w:lineRule="auto"/>
              <w:ind w:right="113"/>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54"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09"/>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ЗК</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2</w:t>
            </w:r>
          </w:p>
        </w:tc>
        <w:tc>
          <w:tcPr>
            <w:tcW w:w="160" w:type="pct"/>
            <w:textDirection w:val="btLr"/>
          </w:tcPr>
          <w:p w:rsidR="008D0E0B" w:rsidRPr="00A06500" w:rsidRDefault="008D0E0B" w:rsidP="00207EE9">
            <w:pPr>
              <w:spacing w:line="216" w:lineRule="auto"/>
              <w:ind w:right="113"/>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54"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16"/>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ЗК</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3</w:t>
            </w:r>
          </w:p>
        </w:tc>
        <w:tc>
          <w:tcPr>
            <w:tcW w:w="160" w:type="pct"/>
            <w:textDirection w:val="btLr"/>
          </w:tcPr>
          <w:p w:rsidR="008D0E0B" w:rsidRPr="00A06500" w:rsidRDefault="008D0E0B" w:rsidP="00207EE9">
            <w:pPr>
              <w:spacing w:line="216" w:lineRule="auto"/>
              <w:ind w:right="113"/>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54"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11"/>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ЗК</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4</w:t>
            </w:r>
          </w:p>
        </w:tc>
        <w:tc>
          <w:tcPr>
            <w:tcW w:w="160" w:type="pct"/>
            <w:textDirection w:val="btLr"/>
          </w:tcPr>
          <w:p w:rsidR="008D0E0B" w:rsidRPr="00A06500" w:rsidRDefault="008D0E0B" w:rsidP="00207EE9">
            <w:pPr>
              <w:spacing w:line="216" w:lineRule="auto"/>
              <w:ind w:right="113"/>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54"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16"/>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ЗК</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5</w:t>
            </w:r>
          </w:p>
        </w:tc>
        <w:tc>
          <w:tcPr>
            <w:tcW w:w="160" w:type="pct"/>
            <w:textDirection w:val="btLr"/>
          </w:tcPr>
          <w:p w:rsidR="008D0E0B" w:rsidRPr="00A06500" w:rsidRDefault="008D0E0B" w:rsidP="00207EE9">
            <w:pPr>
              <w:spacing w:line="216" w:lineRule="auto"/>
              <w:ind w:right="113"/>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54"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23"/>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ЗК</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6</w:t>
            </w:r>
          </w:p>
        </w:tc>
        <w:tc>
          <w:tcPr>
            <w:tcW w:w="160" w:type="pct"/>
            <w:textDirection w:val="btLr"/>
          </w:tcPr>
          <w:p w:rsidR="008D0E0B" w:rsidRPr="00A06500" w:rsidRDefault="008D0E0B" w:rsidP="00207EE9">
            <w:pPr>
              <w:spacing w:line="216" w:lineRule="auto"/>
              <w:ind w:right="113"/>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54"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31"/>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ЗК</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7</w:t>
            </w:r>
          </w:p>
        </w:tc>
        <w:tc>
          <w:tcPr>
            <w:tcW w:w="160" w:type="pct"/>
            <w:textDirection w:val="btLr"/>
          </w:tcPr>
          <w:p w:rsidR="008D0E0B" w:rsidRPr="00A06500" w:rsidRDefault="008D0E0B" w:rsidP="00207EE9">
            <w:pPr>
              <w:spacing w:line="216" w:lineRule="auto"/>
              <w:ind w:right="113"/>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54"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09"/>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ЗК</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8</w:t>
            </w:r>
          </w:p>
        </w:tc>
        <w:tc>
          <w:tcPr>
            <w:tcW w:w="160"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4"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rPr>
                <w:rFonts w:asciiTheme="minorHAnsi" w:hAnsiTheme="minorHAnsi" w:cstheme="minorHAnsi"/>
                <w:color w:val="000000"/>
                <w:sz w:val="22"/>
                <w:szCs w:val="22"/>
                <w:lang w:val="uk-UA" w:eastAsia="ru-RU"/>
              </w:rPr>
            </w:pP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395"/>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ФК</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xml:space="preserve"> 1</w:t>
            </w:r>
          </w:p>
        </w:tc>
        <w:tc>
          <w:tcPr>
            <w:tcW w:w="160"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4"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rPr>
                <w:rFonts w:asciiTheme="minorHAnsi" w:hAnsiTheme="minorHAnsi" w:cstheme="minorHAnsi"/>
                <w:color w:val="000000"/>
                <w:sz w:val="22"/>
                <w:szCs w:val="22"/>
                <w:lang w:val="uk-UA" w:eastAsia="ru-RU"/>
              </w:rPr>
            </w:pP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556"/>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xml:space="preserve">ФК </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2</w:t>
            </w:r>
          </w:p>
        </w:tc>
        <w:tc>
          <w:tcPr>
            <w:tcW w:w="160"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4"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rPr>
                <w:rFonts w:asciiTheme="minorHAnsi" w:hAnsiTheme="minorHAnsi" w:cstheme="minorHAnsi"/>
                <w:color w:val="000000"/>
                <w:sz w:val="22"/>
                <w:szCs w:val="22"/>
                <w:lang w:val="uk-UA" w:eastAsia="ru-RU"/>
              </w:rPr>
            </w:pP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25"/>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xml:space="preserve">ФК </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3</w:t>
            </w:r>
          </w:p>
        </w:tc>
        <w:tc>
          <w:tcPr>
            <w:tcW w:w="160"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4"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15"/>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xml:space="preserve">ФК </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4</w:t>
            </w:r>
          </w:p>
        </w:tc>
        <w:tc>
          <w:tcPr>
            <w:tcW w:w="160"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4"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rPr>
                <w:rFonts w:asciiTheme="minorHAnsi" w:hAnsiTheme="minorHAnsi" w:cstheme="minorHAnsi"/>
                <w:color w:val="000000"/>
                <w:sz w:val="22"/>
                <w:szCs w:val="22"/>
                <w:lang w:val="uk-UA" w:eastAsia="ru-RU"/>
              </w:rPr>
            </w:pP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07"/>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xml:space="preserve">ФК </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5</w:t>
            </w:r>
          </w:p>
        </w:tc>
        <w:tc>
          <w:tcPr>
            <w:tcW w:w="160"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4"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r>
      <w:tr w:rsidR="008D0E0B" w:rsidRPr="00A06500">
        <w:trPr>
          <w:cantSplit/>
          <w:trHeight w:val="427"/>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xml:space="preserve">ФК </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6</w:t>
            </w:r>
          </w:p>
        </w:tc>
        <w:tc>
          <w:tcPr>
            <w:tcW w:w="160"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4"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rPr>
                <w:rFonts w:asciiTheme="minorHAnsi" w:hAnsiTheme="minorHAnsi" w:cstheme="minorHAnsi"/>
                <w:color w:val="000000"/>
                <w:sz w:val="22"/>
                <w:szCs w:val="22"/>
                <w:lang w:val="uk-UA" w:eastAsia="ru-RU"/>
              </w:rPr>
            </w:pP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07"/>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xml:space="preserve">ФК </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7</w:t>
            </w:r>
          </w:p>
        </w:tc>
        <w:tc>
          <w:tcPr>
            <w:tcW w:w="160"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4"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rPr>
                <w:rFonts w:asciiTheme="minorHAnsi" w:hAnsiTheme="minorHAnsi" w:cstheme="minorHAnsi"/>
                <w:color w:val="000000"/>
                <w:sz w:val="22"/>
                <w:szCs w:val="22"/>
                <w:lang w:val="uk-UA" w:eastAsia="ru-RU"/>
              </w:rPr>
            </w:pP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12"/>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xml:space="preserve">ФК </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8</w:t>
            </w:r>
          </w:p>
        </w:tc>
        <w:tc>
          <w:tcPr>
            <w:tcW w:w="160"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4"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rPr>
                <w:rFonts w:asciiTheme="minorHAnsi" w:hAnsiTheme="minorHAnsi" w:cstheme="minorHAnsi"/>
                <w:color w:val="000000"/>
                <w:sz w:val="22"/>
                <w:szCs w:val="22"/>
                <w:lang w:val="uk-UA" w:eastAsia="ru-RU"/>
              </w:rPr>
            </w:pP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17"/>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xml:space="preserve">ФК </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9</w:t>
            </w:r>
          </w:p>
        </w:tc>
        <w:tc>
          <w:tcPr>
            <w:tcW w:w="160"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4"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rPr>
                <w:rFonts w:asciiTheme="minorHAnsi" w:hAnsiTheme="minorHAnsi" w:cstheme="minorHAnsi"/>
                <w:color w:val="000000"/>
                <w:sz w:val="22"/>
                <w:szCs w:val="22"/>
                <w:lang w:val="uk-UA" w:eastAsia="ru-RU"/>
              </w:rPr>
            </w:pP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23"/>
        </w:trPr>
        <w:tc>
          <w:tcPr>
            <w:tcW w:w="307" w:type="pct"/>
            <w:textDirection w:val="btLr"/>
          </w:tcPr>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xml:space="preserve">ФК </w:t>
            </w:r>
          </w:p>
          <w:p w:rsidR="008D0E0B" w:rsidRPr="00A06500" w:rsidRDefault="008D0E0B" w:rsidP="00207EE9">
            <w:pPr>
              <w:spacing w:line="216"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10</w:t>
            </w:r>
          </w:p>
        </w:tc>
        <w:tc>
          <w:tcPr>
            <w:tcW w:w="160"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4"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rPr>
                <w:rFonts w:asciiTheme="minorHAnsi" w:hAnsiTheme="minorHAnsi" w:cstheme="minorHAnsi"/>
                <w:color w:val="000000"/>
                <w:sz w:val="22"/>
                <w:szCs w:val="22"/>
                <w:lang w:val="uk-UA" w:eastAsia="ru-RU"/>
              </w:rPr>
            </w:pP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tcPr>
          <w:p w:rsidR="008D0E0B" w:rsidRPr="00A06500" w:rsidRDefault="008D0E0B" w:rsidP="00207EE9">
            <w:pPr>
              <w:spacing w:line="216"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16"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17"/>
        </w:trPr>
        <w:tc>
          <w:tcPr>
            <w:tcW w:w="307" w:type="pct"/>
            <w:textDirection w:val="btLr"/>
          </w:tcPr>
          <w:p w:rsidR="008D0E0B" w:rsidRPr="00A06500" w:rsidRDefault="008D0E0B" w:rsidP="00207EE9">
            <w:pPr>
              <w:spacing w:line="240"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xml:space="preserve">ФК </w:t>
            </w:r>
          </w:p>
          <w:p w:rsidR="008D0E0B" w:rsidRPr="00A06500" w:rsidRDefault="008D0E0B" w:rsidP="00207EE9">
            <w:pPr>
              <w:spacing w:line="240"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11</w:t>
            </w:r>
          </w:p>
        </w:tc>
        <w:tc>
          <w:tcPr>
            <w:tcW w:w="160"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4"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21"/>
        </w:trPr>
        <w:tc>
          <w:tcPr>
            <w:tcW w:w="307" w:type="pct"/>
            <w:textDirection w:val="btLr"/>
          </w:tcPr>
          <w:p w:rsidR="008D0E0B" w:rsidRPr="00A06500" w:rsidRDefault="008D0E0B" w:rsidP="00207EE9">
            <w:pPr>
              <w:spacing w:line="240"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xml:space="preserve">ФК </w:t>
            </w:r>
          </w:p>
          <w:p w:rsidR="008D0E0B" w:rsidRPr="00A06500" w:rsidRDefault="008D0E0B" w:rsidP="00207EE9">
            <w:pPr>
              <w:spacing w:line="240" w:lineRule="auto"/>
              <w:ind w:right="-106"/>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12</w:t>
            </w:r>
          </w:p>
        </w:tc>
        <w:tc>
          <w:tcPr>
            <w:tcW w:w="160"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4"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62"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158" w:type="pct"/>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bl>
    <w:p w:rsidR="008D0E0B" w:rsidRPr="00A06500" w:rsidRDefault="008D0E0B" w:rsidP="00207EE9">
      <w:pPr>
        <w:rPr>
          <w:rFonts w:asciiTheme="minorHAnsi" w:hAnsiTheme="minorHAnsi" w:cstheme="minorHAnsi"/>
          <w:lang w:val="uk-UA"/>
        </w:rPr>
      </w:pPr>
    </w:p>
    <w:tbl>
      <w:tblPr>
        <w:tblW w:w="11299" w:type="dxa"/>
        <w:tblInd w:w="2" w:type="dxa"/>
        <w:tblLook w:val="00A0" w:firstRow="1" w:lastRow="0" w:firstColumn="1" w:lastColumn="0" w:noHBand="0" w:noVBand="0"/>
      </w:tblPr>
      <w:tblGrid>
        <w:gridCol w:w="1127"/>
        <w:gridCol w:w="578"/>
        <w:gridCol w:w="578"/>
        <w:gridCol w:w="578"/>
        <w:gridCol w:w="578"/>
        <w:gridCol w:w="580"/>
        <w:gridCol w:w="520"/>
        <w:gridCol w:w="580"/>
        <w:gridCol w:w="540"/>
        <w:gridCol w:w="620"/>
        <w:gridCol w:w="520"/>
        <w:gridCol w:w="540"/>
        <w:gridCol w:w="520"/>
        <w:gridCol w:w="520"/>
        <w:gridCol w:w="580"/>
        <w:gridCol w:w="580"/>
        <w:gridCol w:w="620"/>
        <w:gridCol w:w="520"/>
        <w:gridCol w:w="620"/>
      </w:tblGrid>
      <w:tr w:rsidR="008D0E0B" w:rsidRPr="00A06500">
        <w:trPr>
          <w:cantSplit/>
          <w:trHeight w:val="945"/>
        </w:trPr>
        <w:tc>
          <w:tcPr>
            <w:tcW w:w="1127" w:type="dxa"/>
            <w:tcBorders>
              <w:top w:val="single" w:sz="8" w:space="0" w:color="auto"/>
              <w:left w:val="single" w:sz="8" w:space="0" w:color="auto"/>
              <w:bottom w:val="nil"/>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78" w:type="dxa"/>
            <w:tcBorders>
              <w:top w:val="single" w:sz="4" w:space="0" w:color="auto"/>
              <w:left w:val="single" w:sz="4" w:space="0" w:color="auto"/>
              <w:bottom w:val="single" w:sz="4" w:space="0" w:color="auto"/>
              <w:right w:val="single" w:sz="4"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1</w:t>
            </w:r>
          </w:p>
        </w:tc>
        <w:tc>
          <w:tcPr>
            <w:tcW w:w="578" w:type="dxa"/>
            <w:tcBorders>
              <w:top w:val="single" w:sz="4" w:space="0" w:color="auto"/>
              <w:left w:val="single" w:sz="4" w:space="0" w:color="auto"/>
              <w:bottom w:val="single" w:sz="4" w:space="0" w:color="auto"/>
              <w:right w:val="single" w:sz="4"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2</w:t>
            </w:r>
          </w:p>
        </w:tc>
        <w:tc>
          <w:tcPr>
            <w:tcW w:w="578" w:type="dxa"/>
            <w:tcBorders>
              <w:top w:val="single" w:sz="4" w:space="0" w:color="auto"/>
              <w:left w:val="single" w:sz="4" w:space="0" w:color="auto"/>
              <w:bottom w:val="single" w:sz="4" w:space="0" w:color="auto"/>
              <w:right w:val="single" w:sz="4"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3</w:t>
            </w:r>
          </w:p>
        </w:tc>
        <w:tc>
          <w:tcPr>
            <w:tcW w:w="578" w:type="dxa"/>
            <w:tcBorders>
              <w:top w:val="single" w:sz="4" w:space="0" w:color="auto"/>
              <w:left w:val="single" w:sz="4" w:space="0" w:color="auto"/>
              <w:bottom w:val="single" w:sz="4" w:space="0" w:color="auto"/>
              <w:right w:val="single" w:sz="4"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4</w:t>
            </w:r>
          </w:p>
        </w:tc>
        <w:tc>
          <w:tcPr>
            <w:tcW w:w="580" w:type="dxa"/>
            <w:tcBorders>
              <w:top w:val="single" w:sz="4" w:space="0" w:color="auto"/>
              <w:left w:val="single" w:sz="4" w:space="0" w:color="auto"/>
              <w:bottom w:val="single" w:sz="4" w:space="0" w:color="auto"/>
              <w:right w:val="single" w:sz="4"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5</w:t>
            </w:r>
          </w:p>
        </w:tc>
        <w:tc>
          <w:tcPr>
            <w:tcW w:w="520" w:type="dxa"/>
            <w:tcBorders>
              <w:top w:val="single" w:sz="8" w:space="0" w:color="auto"/>
              <w:left w:val="single" w:sz="4" w:space="0" w:color="auto"/>
              <w:bottom w:val="nil"/>
              <w:right w:val="single" w:sz="8"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6</w:t>
            </w:r>
          </w:p>
        </w:tc>
        <w:tc>
          <w:tcPr>
            <w:tcW w:w="580" w:type="dxa"/>
            <w:tcBorders>
              <w:top w:val="single" w:sz="8" w:space="0" w:color="auto"/>
              <w:left w:val="nil"/>
              <w:bottom w:val="nil"/>
              <w:right w:val="single" w:sz="8"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7</w:t>
            </w:r>
          </w:p>
        </w:tc>
        <w:tc>
          <w:tcPr>
            <w:tcW w:w="540" w:type="dxa"/>
            <w:tcBorders>
              <w:top w:val="single" w:sz="8" w:space="0" w:color="auto"/>
              <w:left w:val="nil"/>
              <w:bottom w:val="nil"/>
              <w:right w:val="single" w:sz="8"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8</w:t>
            </w:r>
          </w:p>
        </w:tc>
        <w:tc>
          <w:tcPr>
            <w:tcW w:w="620" w:type="dxa"/>
            <w:tcBorders>
              <w:top w:val="single" w:sz="8" w:space="0" w:color="auto"/>
              <w:left w:val="nil"/>
              <w:bottom w:val="nil"/>
              <w:right w:val="single" w:sz="8"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9</w:t>
            </w:r>
          </w:p>
        </w:tc>
        <w:tc>
          <w:tcPr>
            <w:tcW w:w="520" w:type="dxa"/>
            <w:tcBorders>
              <w:top w:val="single" w:sz="8" w:space="0" w:color="auto"/>
              <w:left w:val="nil"/>
              <w:bottom w:val="nil"/>
              <w:right w:val="single" w:sz="8"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10</w:t>
            </w:r>
          </w:p>
        </w:tc>
        <w:tc>
          <w:tcPr>
            <w:tcW w:w="540" w:type="dxa"/>
            <w:tcBorders>
              <w:top w:val="single" w:sz="8" w:space="0" w:color="auto"/>
              <w:left w:val="nil"/>
              <w:bottom w:val="nil"/>
              <w:right w:val="single" w:sz="8"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11</w:t>
            </w:r>
          </w:p>
        </w:tc>
        <w:tc>
          <w:tcPr>
            <w:tcW w:w="520" w:type="dxa"/>
            <w:tcBorders>
              <w:top w:val="single" w:sz="8" w:space="0" w:color="auto"/>
              <w:left w:val="nil"/>
              <w:bottom w:val="nil"/>
              <w:right w:val="single" w:sz="8"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12</w:t>
            </w:r>
          </w:p>
        </w:tc>
        <w:tc>
          <w:tcPr>
            <w:tcW w:w="520" w:type="dxa"/>
            <w:tcBorders>
              <w:top w:val="single" w:sz="8" w:space="0" w:color="auto"/>
              <w:left w:val="nil"/>
              <w:bottom w:val="nil"/>
              <w:right w:val="single" w:sz="8"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13</w:t>
            </w:r>
          </w:p>
        </w:tc>
        <w:tc>
          <w:tcPr>
            <w:tcW w:w="580" w:type="dxa"/>
            <w:tcBorders>
              <w:top w:val="single" w:sz="8" w:space="0" w:color="auto"/>
              <w:left w:val="nil"/>
              <w:bottom w:val="nil"/>
              <w:right w:val="single" w:sz="8"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14</w:t>
            </w:r>
          </w:p>
        </w:tc>
        <w:tc>
          <w:tcPr>
            <w:tcW w:w="580" w:type="dxa"/>
            <w:tcBorders>
              <w:top w:val="single" w:sz="8" w:space="0" w:color="auto"/>
              <w:left w:val="nil"/>
              <w:bottom w:val="nil"/>
              <w:right w:val="single" w:sz="8"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15</w:t>
            </w:r>
          </w:p>
        </w:tc>
        <w:tc>
          <w:tcPr>
            <w:tcW w:w="620" w:type="dxa"/>
            <w:tcBorders>
              <w:top w:val="single" w:sz="8" w:space="0" w:color="auto"/>
              <w:left w:val="nil"/>
              <w:bottom w:val="nil"/>
              <w:right w:val="single" w:sz="8"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16</w:t>
            </w:r>
          </w:p>
        </w:tc>
        <w:tc>
          <w:tcPr>
            <w:tcW w:w="520" w:type="dxa"/>
            <w:tcBorders>
              <w:top w:val="single" w:sz="8" w:space="0" w:color="auto"/>
              <w:left w:val="nil"/>
              <w:bottom w:val="nil"/>
              <w:right w:val="single" w:sz="8"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17</w:t>
            </w:r>
          </w:p>
        </w:tc>
        <w:tc>
          <w:tcPr>
            <w:tcW w:w="620" w:type="dxa"/>
            <w:tcBorders>
              <w:top w:val="single" w:sz="8" w:space="0" w:color="auto"/>
              <w:left w:val="nil"/>
              <w:bottom w:val="nil"/>
              <w:right w:val="single" w:sz="8" w:space="0" w:color="auto"/>
            </w:tcBorders>
            <w:textDirection w:val="btLr"/>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ВК 18</w:t>
            </w:r>
          </w:p>
        </w:tc>
      </w:tr>
      <w:tr w:rsidR="008D0E0B" w:rsidRPr="00A06500">
        <w:trPr>
          <w:trHeight w:val="375"/>
        </w:trPr>
        <w:tc>
          <w:tcPr>
            <w:tcW w:w="1127"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ЗК 1</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80"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40"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620"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40"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37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ЗК 2</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8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4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6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4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37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ЗК 3</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8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4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6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4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37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ЗК 4</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8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4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6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4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37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ЗК 5</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80"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8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4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6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4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37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ЗК 6</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8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4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6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4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37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ЗК 7</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8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4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6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4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37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ЗК 8</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37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ФК 1</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37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ФК 2</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37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ФК 3</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4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8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8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6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6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r>
      <w:tr w:rsidR="008D0E0B" w:rsidRPr="00A06500">
        <w:trPr>
          <w:trHeight w:val="37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ФК 4</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37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ФК 5</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37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ФК 6</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37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ФК 7</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37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ФК 8</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8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37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ФК 9</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40" w:type="dxa"/>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450"/>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ФК 10</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480"/>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ФК 11</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580"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trHeight w:val="465"/>
        </w:trPr>
        <w:tc>
          <w:tcPr>
            <w:tcW w:w="1127" w:type="dxa"/>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ФК 12</w:t>
            </w:r>
          </w:p>
        </w:tc>
        <w:tc>
          <w:tcPr>
            <w:tcW w:w="578" w:type="dxa"/>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578" w:type="dxa"/>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58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4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8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52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620" w:type="dxa"/>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bl>
    <w:p w:rsidR="008D0E0B" w:rsidRPr="00A06500" w:rsidRDefault="008D0E0B" w:rsidP="00207EE9">
      <w:pPr>
        <w:rPr>
          <w:rFonts w:asciiTheme="minorHAnsi" w:hAnsiTheme="minorHAnsi" w:cstheme="minorHAnsi"/>
          <w:lang w:val="uk-UA"/>
        </w:rPr>
      </w:pPr>
      <w:r w:rsidRPr="00A06500">
        <w:rPr>
          <w:rFonts w:asciiTheme="minorHAnsi" w:hAnsiTheme="minorHAnsi" w:cstheme="minorHAnsi"/>
          <w:lang w:val="uk-UA"/>
        </w:rPr>
        <w:br w:type="page"/>
      </w:r>
    </w:p>
    <w:p w:rsidR="008D0E0B" w:rsidRPr="00A06500" w:rsidRDefault="008D0E0B" w:rsidP="00207EE9">
      <w:pPr>
        <w:rPr>
          <w:rFonts w:asciiTheme="minorHAnsi" w:hAnsiTheme="minorHAnsi" w:cstheme="minorHAnsi"/>
          <w:sz w:val="24"/>
          <w:szCs w:val="24"/>
          <w:lang w:val="uk-UA"/>
        </w:rPr>
      </w:pPr>
      <w:r w:rsidRPr="00A06500">
        <w:rPr>
          <w:rFonts w:asciiTheme="minorHAnsi" w:hAnsiTheme="minorHAnsi" w:cstheme="minorHAnsi"/>
          <w:sz w:val="24"/>
          <w:szCs w:val="24"/>
          <w:lang w:val="uk-UA"/>
        </w:rPr>
        <w:lastRenderedPageBreak/>
        <w:t>5. Матриця забезпечення програмних результатів навчання (ПРН) відповідними компонентами освітньої програми</w:t>
      </w:r>
    </w:p>
    <w:tbl>
      <w:tblPr>
        <w:tblW w:w="5000" w:type="pct"/>
        <w:tblInd w:w="2" w:type="dxa"/>
        <w:tblLook w:val="00A0" w:firstRow="1" w:lastRow="0" w:firstColumn="1" w:lastColumn="0" w:noHBand="0" w:noVBand="0"/>
      </w:tblPr>
      <w:tblGrid>
        <w:gridCol w:w="652"/>
        <w:gridCol w:w="491"/>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91"/>
        <w:gridCol w:w="491"/>
        <w:gridCol w:w="491"/>
        <w:gridCol w:w="491"/>
        <w:gridCol w:w="491"/>
        <w:gridCol w:w="491"/>
        <w:gridCol w:w="491"/>
        <w:gridCol w:w="491"/>
        <w:gridCol w:w="491"/>
        <w:gridCol w:w="491"/>
        <w:gridCol w:w="491"/>
        <w:gridCol w:w="491"/>
        <w:gridCol w:w="491"/>
        <w:gridCol w:w="491"/>
        <w:gridCol w:w="491"/>
        <w:gridCol w:w="491"/>
        <w:gridCol w:w="491"/>
      </w:tblGrid>
      <w:tr w:rsidR="008D0E0B" w:rsidRPr="00A06500">
        <w:trPr>
          <w:trHeight w:val="460"/>
        </w:trPr>
        <w:tc>
          <w:tcPr>
            <w:tcW w:w="108" w:type="pct"/>
            <w:tcBorders>
              <w:top w:val="single" w:sz="8" w:space="0" w:color="auto"/>
              <w:left w:val="single" w:sz="8" w:space="0" w:color="auto"/>
              <w:bottom w:val="nil"/>
              <w:right w:val="single" w:sz="8" w:space="0" w:color="auto"/>
            </w:tcBorders>
          </w:tcPr>
          <w:p w:rsidR="008D0E0B" w:rsidRPr="00A06500" w:rsidRDefault="008D0E0B" w:rsidP="00207EE9">
            <w:pPr>
              <w:spacing w:line="240" w:lineRule="auto"/>
              <w:jc w:val="center"/>
              <w:rPr>
                <w:rFonts w:asciiTheme="minorHAnsi" w:hAnsiTheme="minorHAnsi" w:cstheme="minorHAnsi"/>
                <w:b/>
                <w:bCs/>
                <w:color w:val="000000"/>
                <w:spacing w:val="-20"/>
                <w:sz w:val="22"/>
                <w:szCs w:val="22"/>
                <w:lang w:val="uk-UA" w:eastAsia="ru-RU"/>
              </w:rPr>
            </w:pPr>
            <w:r w:rsidRPr="00A06500">
              <w:rPr>
                <w:rFonts w:asciiTheme="minorHAnsi" w:hAnsiTheme="minorHAnsi" w:cstheme="minorHAnsi"/>
                <w:b/>
                <w:bCs/>
                <w:color w:val="000000"/>
                <w:spacing w:val="-20"/>
                <w:sz w:val="22"/>
                <w:szCs w:val="22"/>
                <w:lang w:val="uk-UA" w:eastAsia="ru-RU"/>
              </w:rPr>
              <w:t> </w:t>
            </w:r>
          </w:p>
        </w:tc>
        <w:tc>
          <w:tcPr>
            <w:tcW w:w="96" w:type="pct"/>
            <w:tcBorders>
              <w:top w:val="single" w:sz="8" w:space="0" w:color="auto"/>
              <w:left w:val="nil"/>
              <w:bottom w:val="nil"/>
              <w:right w:val="single" w:sz="4"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1</w:t>
            </w:r>
          </w:p>
        </w:tc>
        <w:tc>
          <w:tcPr>
            <w:tcW w:w="94" w:type="pct"/>
            <w:tcBorders>
              <w:top w:val="single" w:sz="4" w:space="0" w:color="auto"/>
              <w:left w:val="single" w:sz="4" w:space="0" w:color="auto"/>
              <w:bottom w:val="single" w:sz="4" w:space="0" w:color="auto"/>
              <w:right w:val="single" w:sz="4"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ОК2</w:t>
            </w:r>
          </w:p>
        </w:tc>
        <w:tc>
          <w:tcPr>
            <w:tcW w:w="94" w:type="pct"/>
            <w:tcBorders>
              <w:top w:val="single" w:sz="8" w:space="0" w:color="auto"/>
              <w:left w:val="single" w:sz="4" w:space="0" w:color="auto"/>
              <w:bottom w:val="nil"/>
              <w:right w:val="single" w:sz="4"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3</w:t>
            </w:r>
          </w:p>
        </w:tc>
        <w:tc>
          <w:tcPr>
            <w:tcW w:w="94" w:type="pct"/>
            <w:tcBorders>
              <w:top w:val="single" w:sz="4" w:space="0" w:color="auto"/>
              <w:left w:val="single" w:sz="4" w:space="0" w:color="auto"/>
              <w:bottom w:val="single" w:sz="4" w:space="0" w:color="auto"/>
              <w:right w:val="single" w:sz="4"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4</w:t>
            </w:r>
          </w:p>
        </w:tc>
        <w:tc>
          <w:tcPr>
            <w:tcW w:w="94" w:type="pct"/>
            <w:tcBorders>
              <w:top w:val="single" w:sz="4" w:space="0" w:color="auto"/>
              <w:left w:val="single" w:sz="4" w:space="0" w:color="auto"/>
              <w:bottom w:val="single" w:sz="4" w:space="0" w:color="auto"/>
              <w:right w:val="single" w:sz="4"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5</w:t>
            </w:r>
          </w:p>
        </w:tc>
        <w:tc>
          <w:tcPr>
            <w:tcW w:w="94" w:type="pct"/>
            <w:tcBorders>
              <w:top w:val="single" w:sz="8" w:space="0" w:color="auto"/>
              <w:left w:val="single" w:sz="4" w:space="0" w:color="auto"/>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6</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7</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8</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9</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10</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11</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12</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13</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14</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15</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16</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17</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18</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19</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20</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21</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22</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23</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24</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25</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26</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27</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28</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29</w:t>
            </w:r>
          </w:p>
        </w:tc>
        <w:tc>
          <w:tcPr>
            <w:tcW w:w="94" w:type="pct"/>
            <w:tcBorders>
              <w:top w:val="single" w:sz="8" w:space="0" w:color="auto"/>
              <w:left w:val="nil"/>
              <w:bottom w:val="nil"/>
              <w:right w:val="single" w:sz="8"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30</w:t>
            </w:r>
          </w:p>
        </w:tc>
        <w:tc>
          <w:tcPr>
            <w:tcW w:w="94" w:type="pct"/>
            <w:tcBorders>
              <w:top w:val="single" w:sz="8" w:space="0" w:color="auto"/>
              <w:left w:val="nil"/>
              <w:bottom w:val="nil"/>
              <w:right w:val="single" w:sz="4"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31</w:t>
            </w:r>
          </w:p>
        </w:tc>
        <w:tc>
          <w:tcPr>
            <w:tcW w:w="94" w:type="pct"/>
            <w:tcBorders>
              <w:top w:val="single" w:sz="4" w:space="0" w:color="auto"/>
              <w:left w:val="single" w:sz="4" w:space="0" w:color="auto"/>
              <w:bottom w:val="single" w:sz="4" w:space="0" w:color="auto"/>
              <w:right w:val="single" w:sz="4"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32</w:t>
            </w:r>
          </w:p>
        </w:tc>
        <w:tc>
          <w:tcPr>
            <w:tcW w:w="94" w:type="pct"/>
            <w:tcBorders>
              <w:top w:val="single" w:sz="4" w:space="0" w:color="auto"/>
              <w:left w:val="single" w:sz="4" w:space="0" w:color="auto"/>
              <w:bottom w:val="single" w:sz="4" w:space="0" w:color="auto"/>
              <w:right w:val="single" w:sz="4"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33</w:t>
            </w:r>
          </w:p>
        </w:tc>
        <w:tc>
          <w:tcPr>
            <w:tcW w:w="94" w:type="pct"/>
            <w:tcBorders>
              <w:top w:val="single" w:sz="4" w:space="0" w:color="auto"/>
              <w:left w:val="single" w:sz="4" w:space="0" w:color="auto"/>
              <w:bottom w:val="single" w:sz="4" w:space="0" w:color="auto"/>
              <w:right w:val="nil"/>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ОК 34</w:t>
            </w:r>
          </w:p>
        </w:tc>
        <w:tc>
          <w:tcPr>
            <w:tcW w:w="94" w:type="pct"/>
            <w:tcBorders>
              <w:top w:val="single" w:sz="4" w:space="0" w:color="auto"/>
              <w:left w:val="single" w:sz="4" w:space="0" w:color="auto"/>
              <w:bottom w:val="single" w:sz="4" w:space="0" w:color="auto"/>
              <w:right w:val="single" w:sz="4" w:space="0" w:color="auto"/>
            </w:tcBorders>
            <w:textDirection w:val="btLr"/>
          </w:tcPr>
          <w:p w:rsidR="008D0E0B" w:rsidRPr="00A06500" w:rsidRDefault="008D0E0B" w:rsidP="00207EE9">
            <w:pPr>
              <w:spacing w:line="228"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1</w:t>
            </w:r>
          </w:p>
        </w:tc>
        <w:tc>
          <w:tcPr>
            <w:tcW w:w="95" w:type="pct"/>
            <w:tcBorders>
              <w:top w:val="single" w:sz="4" w:space="0" w:color="auto"/>
              <w:left w:val="single" w:sz="4" w:space="0" w:color="auto"/>
              <w:bottom w:val="single" w:sz="4" w:space="0" w:color="auto"/>
              <w:right w:val="single" w:sz="4" w:space="0" w:color="auto"/>
            </w:tcBorders>
            <w:textDirection w:val="btLr"/>
          </w:tcPr>
          <w:p w:rsidR="008D0E0B" w:rsidRPr="00A06500" w:rsidRDefault="008D0E0B" w:rsidP="00207EE9">
            <w:pPr>
              <w:spacing w:line="240"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2</w:t>
            </w:r>
          </w:p>
        </w:tc>
        <w:tc>
          <w:tcPr>
            <w:tcW w:w="95" w:type="pct"/>
            <w:tcBorders>
              <w:top w:val="single" w:sz="4" w:space="0" w:color="auto"/>
              <w:left w:val="single" w:sz="4" w:space="0" w:color="auto"/>
              <w:bottom w:val="single" w:sz="4" w:space="0" w:color="auto"/>
              <w:right w:val="single" w:sz="4" w:space="0" w:color="auto"/>
            </w:tcBorders>
            <w:textDirection w:val="btLr"/>
          </w:tcPr>
          <w:p w:rsidR="008D0E0B" w:rsidRPr="00A06500" w:rsidRDefault="008D0E0B" w:rsidP="00207EE9">
            <w:pPr>
              <w:spacing w:line="240"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3</w:t>
            </w:r>
          </w:p>
        </w:tc>
        <w:tc>
          <w:tcPr>
            <w:tcW w:w="95" w:type="pct"/>
            <w:tcBorders>
              <w:top w:val="single" w:sz="4" w:space="0" w:color="auto"/>
              <w:left w:val="single" w:sz="4" w:space="0" w:color="auto"/>
              <w:bottom w:val="single" w:sz="4" w:space="0" w:color="auto"/>
              <w:right w:val="single" w:sz="4" w:space="0" w:color="auto"/>
            </w:tcBorders>
            <w:textDirection w:val="btLr"/>
          </w:tcPr>
          <w:p w:rsidR="008D0E0B" w:rsidRPr="00A06500" w:rsidRDefault="008D0E0B" w:rsidP="00207EE9">
            <w:pPr>
              <w:spacing w:line="240"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4</w:t>
            </w:r>
          </w:p>
        </w:tc>
        <w:tc>
          <w:tcPr>
            <w:tcW w:w="95" w:type="pct"/>
            <w:tcBorders>
              <w:top w:val="single" w:sz="4" w:space="0" w:color="auto"/>
              <w:left w:val="single" w:sz="4" w:space="0" w:color="auto"/>
              <w:bottom w:val="single" w:sz="4" w:space="0" w:color="auto"/>
              <w:right w:val="single" w:sz="4" w:space="0" w:color="auto"/>
            </w:tcBorders>
            <w:textDirection w:val="btLr"/>
          </w:tcPr>
          <w:p w:rsidR="008D0E0B" w:rsidRPr="00A06500" w:rsidRDefault="008D0E0B" w:rsidP="00207EE9">
            <w:pPr>
              <w:spacing w:line="240"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5</w:t>
            </w:r>
          </w:p>
        </w:tc>
        <w:tc>
          <w:tcPr>
            <w:tcW w:w="95" w:type="pct"/>
            <w:tcBorders>
              <w:top w:val="single" w:sz="4" w:space="0" w:color="auto"/>
              <w:left w:val="nil"/>
              <w:bottom w:val="single" w:sz="4" w:space="0" w:color="auto"/>
              <w:right w:val="single" w:sz="4" w:space="0" w:color="auto"/>
            </w:tcBorders>
            <w:textDirection w:val="btLr"/>
          </w:tcPr>
          <w:p w:rsidR="008D0E0B" w:rsidRPr="00A06500" w:rsidRDefault="008D0E0B" w:rsidP="00207EE9">
            <w:pPr>
              <w:spacing w:line="240"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6</w:t>
            </w:r>
          </w:p>
        </w:tc>
        <w:tc>
          <w:tcPr>
            <w:tcW w:w="95" w:type="pct"/>
            <w:tcBorders>
              <w:top w:val="single" w:sz="4" w:space="0" w:color="auto"/>
              <w:left w:val="nil"/>
              <w:bottom w:val="single" w:sz="4" w:space="0" w:color="auto"/>
              <w:right w:val="single" w:sz="4" w:space="0" w:color="auto"/>
            </w:tcBorders>
            <w:textDirection w:val="btLr"/>
          </w:tcPr>
          <w:p w:rsidR="008D0E0B" w:rsidRPr="00A06500" w:rsidRDefault="008D0E0B" w:rsidP="00207EE9">
            <w:pPr>
              <w:spacing w:line="240"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7</w:t>
            </w:r>
          </w:p>
        </w:tc>
        <w:tc>
          <w:tcPr>
            <w:tcW w:w="95" w:type="pct"/>
            <w:tcBorders>
              <w:top w:val="single" w:sz="4" w:space="0" w:color="auto"/>
              <w:left w:val="nil"/>
              <w:bottom w:val="single" w:sz="4" w:space="0" w:color="auto"/>
              <w:right w:val="single" w:sz="4" w:space="0" w:color="auto"/>
            </w:tcBorders>
            <w:textDirection w:val="btLr"/>
          </w:tcPr>
          <w:p w:rsidR="008D0E0B" w:rsidRPr="00A06500" w:rsidRDefault="008D0E0B" w:rsidP="00207EE9">
            <w:pPr>
              <w:spacing w:line="240"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8</w:t>
            </w:r>
          </w:p>
        </w:tc>
        <w:tc>
          <w:tcPr>
            <w:tcW w:w="95" w:type="pct"/>
            <w:tcBorders>
              <w:top w:val="single" w:sz="4" w:space="0" w:color="auto"/>
              <w:left w:val="nil"/>
              <w:bottom w:val="single" w:sz="4" w:space="0" w:color="auto"/>
              <w:right w:val="single" w:sz="4" w:space="0" w:color="auto"/>
            </w:tcBorders>
            <w:textDirection w:val="btLr"/>
          </w:tcPr>
          <w:p w:rsidR="008D0E0B" w:rsidRPr="00A06500" w:rsidRDefault="008D0E0B" w:rsidP="00207EE9">
            <w:pPr>
              <w:spacing w:line="240"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9</w:t>
            </w:r>
          </w:p>
        </w:tc>
        <w:tc>
          <w:tcPr>
            <w:tcW w:w="95" w:type="pct"/>
            <w:tcBorders>
              <w:top w:val="single" w:sz="4" w:space="0" w:color="auto"/>
              <w:left w:val="nil"/>
              <w:bottom w:val="single" w:sz="4" w:space="0" w:color="auto"/>
              <w:right w:val="single" w:sz="4" w:space="0" w:color="auto"/>
            </w:tcBorders>
            <w:textDirection w:val="btLr"/>
          </w:tcPr>
          <w:p w:rsidR="008D0E0B" w:rsidRPr="00A06500" w:rsidRDefault="008D0E0B" w:rsidP="00207EE9">
            <w:pPr>
              <w:spacing w:line="240"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10</w:t>
            </w:r>
          </w:p>
        </w:tc>
        <w:tc>
          <w:tcPr>
            <w:tcW w:w="95" w:type="pct"/>
            <w:tcBorders>
              <w:top w:val="single" w:sz="4" w:space="0" w:color="auto"/>
              <w:left w:val="nil"/>
              <w:bottom w:val="single" w:sz="4" w:space="0" w:color="auto"/>
              <w:right w:val="single" w:sz="4" w:space="0" w:color="auto"/>
            </w:tcBorders>
            <w:textDirection w:val="btLr"/>
          </w:tcPr>
          <w:p w:rsidR="008D0E0B" w:rsidRPr="00A06500" w:rsidRDefault="008D0E0B" w:rsidP="00207EE9">
            <w:pPr>
              <w:spacing w:line="240"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11</w:t>
            </w:r>
          </w:p>
        </w:tc>
        <w:tc>
          <w:tcPr>
            <w:tcW w:w="95" w:type="pct"/>
            <w:tcBorders>
              <w:top w:val="single" w:sz="4" w:space="0" w:color="auto"/>
              <w:left w:val="nil"/>
              <w:bottom w:val="single" w:sz="4" w:space="0" w:color="auto"/>
              <w:right w:val="single" w:sz="4" w:space="0" w:color="auto"/>
            </w:tcBorders>
            <w:textDirection w:val="btLr"/>
          </w:tcPr>
          <w:p w:rsidR="008D0E0B" w:rsidRPr="00A06500" w:rsidRDefault="008D0E0B" w:rsidP="00207EE9">
            <w:pPr>
              <w:spacing w:line="240"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12</w:t>
            </w:r>
          </w:p>
        </w:tc>
        <w:tc>
          <w:tcPr>
            <w:tcW w:w="95" w:type="pct"/>
            <w:tcBorders>
              <w:top w:val="single" w:sz="4" w:space="0" w:color="auto"/>
              <w:left w:val="nil"/>
              <w:bottom w:val="single" w:sz="4" w:space="0" w:color="auto"/>
              <w:right w:val="single" w:sz="4" w:space="0" w:color="auto"/>
            </w:tcBorders>
            <w:textDirection w:val="btLr"/>
          </w:tcPr>
          <w:p w:rsidR="008D0E0B" w:rsidRPr="00A06500" w:rsidRDefault="008D0E0B" w:rsidP="00207EE9">
            <w:pPr>
              <w:spacing w:line="240" w:lineRule="auto"/>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13</w:t>
            </w:r>
          </w:p>
        </w:tc>
        <w:tc>
          <w:tcPr>
            <w:tcW w:w="95" w:type="pct"/>
            <w:tcBorders>
              <w:top w:val="single" w:sz="4" w:space="0" w:color="auto"/>
              <w:left w:val="nil"/>
              <w:bottom w:val="single" w:sz="4" w:space="0" w:color="auto"/>
              <w:right w:val="single" w:sz="4" w:space="0" w:color="auto"/>
            </w:tcBorders>
            <w:textDirection w:val="btLr"/>
          </w:tcPr>
          <w:p w:rsidR="008D0E0B" w:rsidRPr="00A06500" w:rsidRDefault="008D0E0B" w:rsidP="00207EE9">
            <w:pPr>
              <w:spacing w:line="240" w:lineRule="auto"/>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14</w:t>
            </w:r>
          </w:p>
        </w:tc>
        <w:tc>
          <w:tcPr>
            <w:tcW w:w="95" w:type="pct"/>
            <w:tcBorders>
              <w:top w:val="single" w:sz="4" w:space="0" w:color="auto"/>
              <w:left w:val="nil"/>
              <w:bottom w:val="single" w:sz="4" w:space="0" w:color="auto"/>
              <w:right w:val="single" w:sz="4" w:space="0" w:color="auto"/>
            </w:tcBorders>
            <w:textDirection w:val="btLr"/>
          </w:tcPr>
          <w:p w:rsidR="008D0E0B" w:rsidRPr="00A06500" w:rsidRDefault="008D0E0B" w:rsidP="00207EE9">
            <w:pPr>
              <w:spacing w:line="240" w:lineRule="auto"/>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15</w:t>
            </w:r>
          </w:p>
        </w:tc>
        <w:tc>
          <w:tcPr>
            <w:tcW w:w="95" w:type="pct"/>
            <w:tcBorders>
              <w:top w:val="single" w:sz="4" w:space="0" w:color="auto"/>
              <w:left w:val="nil"/>
              <w:bottom w:val="single" w:sz="4" w:space="0" w:color="auto"/>
              <w:right w:val="single" w:sz="4" w:space="0" w:color="auto"/>
            </w:tcBorders>
            <w:textDirection w:val="btLr"/>
          </w:tcPr>
          <w:p w:rsidR="008D0E0B" w:rsidRPr="00A06500" w:rsidRDefault="008D0E0B" w:rsidP="00207EE9">
            <w:pPr>
              <w:spacing w:line="240" w:lineRule="auto"/>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16</w:t>
            </w:r>
          </w:p>
        </w:tc>
        <w:tc>
          <w:tcPr>
            <w:tcW w:w="95" w:type="pct"/>
            <w:tcBorders>
              <w:top w:val="single" w:sz="4" w:space="0" w:color="auto"/>
              <w:left w:val="nil"/>
              <w:bottom w:val="single" w:sz="4" w:space="0" w:color="auto"/>
              <w:right w:val="single" w:sz="4" w:space="0" w:color="auto"/>
            </w:tcBorders>
            <w:textDirection w:val="btLr"/>
          </w:tcPr>
          <w:p w:rsidR="008D0E0B" w:rsidRPr="00A06500" w:rsidRDefault="008D0E0B" w:rsidP="00207EE9">
            <w:pPr>
              <w:spacing w:line="240" w:lineRule="auto"/>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17</w:t>
            </w:r>
          </w:p>
        </w:tc>
        <w:tc>
          <w:tcPr>
            <w:tcW w:w="95" w:type="pct"/>
            <w:tcBorders>
              <w:top w:val="single" w:sz="4" w:space="0" w:color="auto"/>
              <w:left w:val="nil"/>
              <w:bottom w:val="single" w:sz="4" w:space="0" w:color="auto"/>
              <w:right w:val="single" w:sz="4" w:space="0" w:color="auto"/>
            </w:tcBorders>
            <w:textDirection w:val="btLr"/>
          </w:tcPr>
          <w:p w:rsidR="008D0E0B" w:rsidRPr="00A06500" w:rsidRDefault="008D0E0B" w:rsidP="00207EE9">
            <w:pPr>
              <w:spacing w:line="240" w:lineRule="auto"/>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ВК 18</w:t>
            </w:r>
          </w:p>
        </w:tc>
      </w:tr>
      <w:tr w:rsidR="008D0E0B" w:rsidRPr="00A06500">
        <w:trPr>
          <w:cantSplit/>
          <w:trHeight w:val="411"/>
        </w:trPr>
        <w:tc>
          <w:tcPr>
            <w:tcW w:w="108" w:type="pct"/>
            <w:tcBorders>
              <w:top w:val="single" w:sz="4" w:space="0" w:color="auto"/>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 xml:space="preserve">ПРН </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1</w:t>
            </w:r>
          </w:p>
        </w:tc>
        <w:tc>
          <w:tcPr>
            <w:tcW w:w="96" w:type="pct"/>
            <w:tcBorders>
              <w:top w:val="single" w:sz="4" w:space="0" w:color="auto"/>
              <w:left w:val="nil"/>
              <w:bottom w:val="nil"/>
              <w:right w:val="single" w:sz="4" w:space="0" w:color="auto"/>
            </w:tcBorders>
            <w:textDirection w:val="btLr"/>
          </w:tcPr>
          <w:p w:rsidR="008D0E0B" w:rsidRPr="00A06500" w:rsidRDefault="008D0E0B" w:rsidP="00207EE9">
            <w:pPr>
              <w:spacing w:line="240" w:lineRule="auto"/>
              <w:ind w:right="113"/>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nil"/>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nil"/>
              <w:bottom w:val="nil"/>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nil"/>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nil"/>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nil"/>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nil"/>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nil"/>
            </w:tcBorders>
          </w:tcPr>
          <w:p w:rsidR="008D0E0B" w:rsidRPr="00A06500" w:rsidRDefault="008D0E0B" w:rsidP="00207EE9">
            <w:pPr>
              <w:spacing w:line="240" w:lineRule="auto"/>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05"/>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2</w:t>
            </w:r>
          </w:p>
        </w:tc>
        <w:tc>
          <w:tcPr>
            <w:tcW w:w="96" w:type="pct"/>
            <w:tcBorders>
              <w:top w:val="single" w:sz="4" w:space="0" w:color="auto"/>
              <w:left w:val="nil"/>
              <w:bottom w:val="single" w:sz="4" w:space="0" w:color="auto"/>
              <w:right w:val="single" w:sz="4" w:space="0" w:color="auto"/>
            </w:tcBorders>
            <w:textDirection w:val="btLr"/>
          </w:tcPr>
          <w:p w:rsidR="008D0E0B" w:rsidRPr="00A06500" w:rsidRDefault="008D0E0B" w:rsidP="00207EE9">
            <w:pPr>
              <w:spacing w:line="240" w:lineRule="auto"/>
              <w:ind w:right="113"/>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noWrap/>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399"/>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3</w:t>
            </w:r>
          </w:p>
        </w:tc>
        <w:tc>
          <w:tcPr>
            <w:tcW w:w="96" w:type="pct"/>
            <w:tcBorders>
              <w:top w:val="nil"/>
              <w:left w:val="nil"/>
              <w:bottom w:val="single" w:sz="4" w:space="0" w:color="auto"/>
              <w:right w:val="single" w:sz="4" w:space="0" w:color="auto"/>
            </w:tcBorders>
            <w:textDirection w:val="btLr"/>
          </w:tcPr>
          <w:p w:rsidR="008D0E0B" w:rsidRPr="00A06500" w:rsidRDefault="008D0E0B" w:rsidP="00207EE9">
            <w:pPr>
              <w:spacing w:line="240" w:lineRule="auto"/>
              <w:ind w:right="113"/>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07"/>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4</w:t>
            </w:r>
          </w:p>
        </w:tc>
        <w:tc>
          <w:tcPr>
            <w:tcW w:w="96" w:type="pct"/>
            <w:tcBorders>
              <w:top w:val="nil"/>
              <w:left w:val="nil"/>
              <w:bottom w:val="single" w:sz="4" w:space="0" w:color="auto"/>
              <w:right w:val="single" w:sz="4" w:space="0" w:color="auto"/>
            </w:tcBorders>
            <w:textDirection w:val="btLr"/>
          </w:tcPr>
          <w:p w:rsidR="008D0E0B" w:rsidRPr="00A06500" w:rsidRDefault="008D0E0B" w:rsidP="00207EE9">
            <w:pPr>
              <w:spacing w:line="240" w:lineRule="auto"/>
              <w:ind w:right="113"/>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49"/>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5</w:t>
            </w:r>
          </w:p>
        </w:tc>
        <w:tc>
          <w:tcPr>
            <w:tcW w:w="96" w:type="pct"/>
            <w:tcBorders>
              <w:top w:val="nil"/>
              <w:left w:val="nil"/>
              <w:bottom w:val="single" w:sz="4" w:space="0" w:color="auto"/>
              <w:right w:val="single" w:sz="4" w:space="0" w:color="auto"/>
            </w:tcBorders>
            <w:textDirection w:val="btLr"/>
          </w:tcPr>
          <w:p w:rsidR="008D0E0B" w:rsidRPr="00A06500" w:rsidRDefault="008D0E0B" w:rsidP="00207EE9">
            <w:pPr>
              <w:spacing w:line="240" w:lineRule="auto"/>
              <w:ind w:right="113"/>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43"/>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6</w:t>
            </w:r>
          </w:p>
        </w:tc>
        <w:tc>
          <w:tcPr>
            <w:tcW w:w="96" w:type="pct"/>
            <w:tcBorders>
              <w:top w:val="nil"/>
              <w:left w:val="nil"/>
              <w:bottom w:val="single" w:sz="4" w:space="0" w:color="auto"/>
              <w:right w:val="single" w:sz="4" w:space="0" w:color="auto"/>
            </w:tcBorders>
            <w:textDirection w:val="btLr"/>
          </w:tcPr>
          <w:p w:rsidR="008D0E0B" w:rsidRPr="00A06500" w:rsidRDefault="008D0E0B" w:rsidP="00207EE9">
            <w:pPr>
              <w:spacing w:line="240" w:lineRule="auto"/>
              <w:ind w:right="113"/>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b/>
                <w:bCs/>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377"/>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7</w:t>
            </w:r>
          </w:p>
        </w:tc>
        <w:tc>
          <w:tcPr>
            <w:tcW w:w="96" w:type="pct"/>
            <w:tcBorders>
              <w:top w:val="nil"/>
              <w:left w:val="nil"/>
              <w:bottom w:val="single" w:sz="4" w:space="0" w:color="auto"/>
              <w:right w:val="single" w:sz="4" w:space="0" w:color="auto"/>
            </w:tcBorders>
            <w:textDirection w:val="btLr"/>
          </w:tcPr>
          <w:p w:rsidR="008D0E0B" w:rsidRPr="00A06500" w:rsidRDefault="008D0E0B" w:rsidP="00207EE9">
            <w:pPr>
              <w:spacing w:line="240" w:lineRule="auto"/>
              <w:ind w:right="113"/>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297"/>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8</w:t>
            </w:r>
          </w:p>
        </w:tc>
        <w:tc>
          <w:tcPr>
            <w:tcW w:w="96" w:type="pct"/>
            <w:tcBorders>
              <w:top w:val="nil"/>
              <w:left w:val="nil"/>
              <w:bottom w:val="single" w:sz="4" w:space="0" w:color="auto"/>
              <w:right w:val="single" w:sz="4" w:space="0" w:color="auto"/>
            </w:tcBorders>
            <w:noWrap/>
            <w:textDirection w:val="btLr"/>
            <w:vAlign w:val="bottom"/>
          </w:tcPr>
          <w:p w:rsidR="008D0E0B" w:rsidRPr="00A06500" w:rsidRDefault="008D0E0B" w:rsidP="00207EE9">
            <w:pPr>
              <w:spacing w:line="240" w:lineRule="auto"/>
              <w:ind w:right="113"/>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359"/>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9</w:t>
            </w:r>
          </w:p>
        </w:tc>
        <w:tc>
          <w:tcPr>
            <w:tcW w:w="96"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20"/>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10</w:t>
            </w:r>
          </w:p>
        </w:tc>
        <w:tc>
          <w:tcPr>
            <w:tcW w:w="96"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13"/>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11</w:t>
            </w:r>
          </w:p>
        </w:tc>
        <w:tc>
          <w:tcPr>
            <w:tcW w:w="96"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561"/>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12</w:t>
            </w:r>
          </w:p>
        </w:tc>
        <w:tc>
          <w:tcPr>
            <w:tcW w:w="96"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21"/>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13</w:t>
            </w:r>
          </w:p>
        </w:tc>
        <w:tc>
          <w:tcPr>
            <w:tcW w:w="96"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07"/>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14</w:t>
            </w:r>
          </w:p>
        </w:tc>
        <w:tc>
          <w:tcPr>
            <w:tcW w:w="96"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18"/>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15</w:t>
            </w:r>
          </w:p>
        </w:tc>
        <w:tc>
          <w:tcPr>
            <w:tcW w:w="96"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34"/>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16</w:t>
            </w:r>
          </w:p>
        </w:tc>
        <w:tc>
          <w:tcPr>
            <w:tcW w:w="96"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398"/>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17</w:t>
            </w:r>
          </w:p>
        </w:tc>
        <w:tc>
          <w:tcPr>
            <w:tcW w:w="96"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23"/>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18</w:t>
            </w:r>
          </w:p>
        </w:tc>
        <w:tc>
          <w:tcPr>
            <w:tcW w:w="96"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15"/>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19</w:t>
            </w:r>
          </w:p>
        </w:tc>
        <w:tc>
          <w:tcPr>
            <w:tcW w:w="96"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r>
      <w:tr w:rsidR="008D0E0B" w:rsidRPr="00A06500">
        <w:trPr>
          <w:cantSplit/>
          <w:trHeight w:val="420"/>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20</w:t>
            </w:r>
          </w:p>
        </w:tc>
        <w:tc>
          <w:tcPr>
            <w:tcW w:w="96"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r>
      <w:tr w:rsidR="008D0E0B" w:rsidRPr="00A06500">
        <w:trPr>
          <w:cantSplit/>
          <w:trHeight w:val="624"/>
        </w:trPr>
        <w:tc>
          <w:tcPr>
            <w:tcW w:w="108" w:type="pct"/>
            <w:tcBorders>
              <w:top w:val="nil"/>
              <w:left w:val="single" w:sz="4" w:space="0" w:color="auto"/>
              <w:bottom w:val="single" w:sz="4" w:space="0" w:color="auto"/>
              <w:right w:val="single" w:sz="4" w:space="0" w:color="auto"/>
            </w:tcBorders>
            <w:textDirection w:val="btLr"/>
          </w:tcPr>
          <w:p w:rsidR="008D0E0B" w:rsidRPr="00A06500" w:rsidRDefault="008D0E0B" w:rsidP="00207EE9">
            <w:pPr>
              <w:spacing w:line="192" w:lineRule="auto"/>
              <w:ind w:right="-91"/>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lastRenderedPageBreak/>
              <w:t>ПРН</w:t>
            </w:r>
          </w:p>
          <w:p w:rsidR="008D0E0B" w:rsidRPr="00A06500" w:rsidRDefault="008D0E0B" w:rsidP="00207EE9">
            <w:pPr>
              <w:spacing w:line="192" w:lineRule="auto"/>
              <w:ind w:right="-91"/>
              <w:jc w:val="center"/>
              <w:rPr>
                <w:rFonts w:asciiTheme="minorHAnsi" w:hAnsiTheme="minorHAnsi" w:cstheme="minorHAnsi"/>
                <w:color w:val="000000"/>
                <w:spacing w:val="-20"/>
                <w:sz w:val="22"/>
                <w:szCs w:val="22"/>
                <w:lang w:val="uk-UA" w:eastAsia="ru-RU"/>
              </w:rPr>
            </w:pPr>
            <w:r w:rsidRPr="00A06500">
              <w:rPr>
                <w:rFonts w:asciiTheme="minorHAnsi" w:hAnsiTheme="minorHAnsi" w:cstheme="minorHAnsi"/>
                <w:color w:val="000000"/>
                <w:spacing w:val="-20"/>
                <w:sz w:val="22"/>
                <w:szCs w:val="22"/>
                <w:lang w:val="uk-UA" w:eastAsia="ru-RU"/>
              </w:rPr>
              <w:t>21</w:t>
            </w:r>
          </w:p>
        </w:tc>
        <w:tc>
          <w:tcPr>
            <w:tcW w:w="96"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nil"/>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4"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4" w:type="pct"/>
            <w:tcBorders>
              <w:top w:val="single" w:sz="4" w:space="0" w:color="auto"/>
              <w:left w:val="single" w:sz="4" w:space="0" w:color="auto"/>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4" w:type="pct"/>
            <w:tcBorders>
              <w:top w:val="single" w:sz="4" w:space="0" w:color="auto"/>
              <w:left w:val="nil"/>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single" w:sz="4" w:space="0" w:color="auto"/>
              <w:left w:val="single" w:sz="4" w:space="0" w:color="auto"/>
              <w:bottom w:val="single" w:sz="4" w:space="0" w:color="auto"/>
              <w:right w:val="single" w:sz="4" w:space="0" w:color="auto"/>
            </w:tcBorders>
          </w:tcPr>
          <w:p w:rsidR="008D0E0B" w:rsidRPr="00A06500" w:rsidRDefault="008D0E0B" w:rsidP="00207EE9">
            <w:pPr>
              <w:spacing w:line="240" w:lineRule="auto"/>
              <w:rPr>
                <w:rFonts w:asciiTheme="minorHAnsi" w:hAnsiTheme="minorHAnsi" w:cstheme="minorHAnsi"/>
                <w:color w:val="000000"/>
                <w:sz w:val="22"/>
                <w:szCs w:val="22"/>
                <w:lang w:val="uk-UA" w:eastAsia="ru-RU"/>
              </w:rPr>
            </w:pP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noWrap/>
            <w:vAlign w:val="bottom"/>
          </w:tcPr>
          <w:p w:rsidR="008D0E0B" w:rsidRPr="00A06500" w:rsidRDefault="008D0E0B" w:rsidP="00207EE9">
            <w:pPr>
              <w:spacing w:line="240" w:lineRule="auto"/>
              <w:rPr>
                <w:rFonts w:asciiTheme="minorHAnsi" w:hAnsiTheme="minorHAnsi" w:cstheme="minorHAnsi"/>
                <w:color w:val="000000"/>
                <w:sz w:val="22"/>
                <w:szCs w:val="22"/>
                <w:lang w:val="uk-UA" w:eastAsia="ru-RU"/>
              </w:rPr>
            </w:pPr>
            <w:r w:rsidRPr="00A06500">
              <w:rPr>
                <w:rFonts w:asciiTheme="minorHAnsi" w:hAnsiTheme="minorHAnsi" w:cstheme="minorHAnsi"/>
                <w:color w:val="000000"/>
                <w:sz w:val="22"/>
                <w:szCs w:val="22"/>
                <w:lang w:val="uk-UA" w:eastAsia="ru-RU"/>
              </w:rPr>
              <w:t> </w:t>
            </w:r>
          </w:p>
        </w:tc>
        <w:tc>
          <w:tcPr>
            <w:tcW w:w="95" w:type="pct"/>
            <w:tcBorders>
              <w:top w:val="nil"/>
              <w:left w:val="nil"/>
              <w:bottom w:val="single" w:sz="4" w:space="0" w:color="auto"/>
              <w:right w:val="single" w:sz="4" w:space="0" w:color="auto"/>
            </w:tcBorders>
          </w:tcPr>
          <w:p w:rsidR="008D0E0B" w:rsidRPr="00A06500" w:rsidRDefault="008D0E0B" w:rsidP="00207EE9">
            <w:pPr>
              <w:spacing w:line="240" w:lineRule="auto"/>
              <w:jc w:val="center"/>
              <w:rPr>
                <w:rFonts w:asciiTheme="minorHAnsi" w:hAnsiTheme="minorHAnsi" w:cstheme="minorHAnsi"/>
                <w:b/>
                <w:bCs/>
                <w:color w:val="000000"/>
                <w:sz w:val="22"/>
                <w:szCs w:val="22"/>
                <w:lang w:val="uk-UA" w:eastAsia="ru-RU"/>
              </w:rPr>
            </w:pPr>
            <w:r w:rsidRPr="00A06500">
              <w:rPr>
                <w:rFonts w:asciiTheme="minorHAnsi" w:hAnsiTheme="minorHAnsi" w:cstheme="minorHAnsi"/>
                <w:b/>
                <w:bCs/>
                <w:color w:val="000000"/>
                <w:sz w:val="22"/>
                <w:szCs w:val="22"/>
                <w:lang w:val="uk-UA" w:eastAsia="ru-RU"/>
              </w:rPr>
              <w:t>*</w:t>
            </w:r>
          </w:p>
        </w:tc>
      </w:tr>
    </w:tbl>
    <w:p w:rsidR="008D0E0B" w:rsidRPr="00A06500" w:rsidRDefault="008D0E0B" w:rsidP="00207EE9">
      <w:pPr>
        <w:rPr>
          <w:rFonts w:asciiTheme="minorHAnsi" w:hAnsiTheme="minorHAnsi" w:cstheme="minorHAnsi"/>
          <w:lang w:val="uk-UA"/>
        </w:rPr>
      </w:pPr>
    </w:p>
    <w:sectPr w:rsidR="008D0E0B" w:rsidRPr="00A06500" w:rsidSect="00207EE9">
      <w:pgSz w:w="16838" w:h="11906" w:orient="landscape"/>
      <w:pgMar w:top="850" w:right="1134" w:bottom="1135"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1251 Times">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F8AF4E"/>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125063"/>
    <w:multiLevelType w:val="multilevel"/>
    <w:tmpl w:val="5A0846C8"/>
    <w:lvl w:ilvl="0">
      <w:start w:val="1"/>
      <w:numFmt w:val="bullet"/>
      <w:lvlText w:val=""/>
      <w:lvlJc w:val="left"/>
      <w:pPr>
        <w:tabs>
          <w:tab w:val="num" w:pos="360"/>
        </w:tabs>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 w15:restartNumberingAfterBreak="0">
    <w:nsid w:val="06D67733"/>
    <w:multiLevelType w:val="singleLevel"/>
    <w:tmpl w:val="3D428754"/>
    <w:lvl w:ilvl="0">
      <w:start w:val="1"/>
      <w:numFmt w:val="decimal"/>
      <w:lvlText w:val="%1."/>
      <w:legacy w:legacy="1" w:legacySpace="0" w:legacyIndent="360"/>
      <w:lvlJc w:val="left"/>
      <w:pPr>
        <w:ind w:left="360" w:hanging="360"/>
      </w:pPr>
    </w:lvl>
  </w:abstractNum>
  <w:abstractNum w:abstractNumId="4" w15:restartNumberingAfterBreak="0">
    <w:nsid w:val="0F265AD5"/>
    <w:multiLevelType w:val="multilevel"/>
    <w:tmpl w:val="5A0846C8"/>
    <w:lvl w:ilvl="0">
      <w:start w:val="1"/>
      <w:numFmt w:val="bullet"/>
      <w:lvlText w:val=""/>
      <w:lvlJc w:val="left"/>
      <w:pPr>
        <w:tabs>
          <w:tab w:val="num" w:pos="360"/>
        </w:tabs>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 w15:restartNumberingAfterBreak="0">
    <w:nsid w:val="11BB783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2A4A10E2"/>
    <w:multiLevelType w:val="hybridMultilevel"/>
    <w:tmpl w:val="E21E35E2"/>
    <w:lvl w:ilvl="0" w:tplc="A3626F3E">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F550EB2"/>
    <w:multiLevelType w:val="hybridMultilevel"/>
    <w:tmpl w:val="FA18098A"/>
    <w:lvl w:ilvl="0" w:tplc="A3626F3E">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8" w15:restartNumberingAfterBreak="0">
    <w:nsid w:val="33D1142E"/>
    <w:multiLevelType w:val="multilevel"/>
    <w:tmpl w:val="726AA4F0"/>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9302CA0"/>
    <w:multiLevelType w:val="hybridMultilevel"/>
    <w:tmpl w:val="86BA093E"/>
    <w:lvl w:ilvl="0" w:tplc="38EACED0">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D4B3762"/>
    <w:multiLevelType w:val="hybridMultilevel"/>
    <w:tmpl w:val="46BAC7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70706D"/>
    <w:multiLevelType w:val="multilevel"/>
    <w:tmpl w:val="A5346A86"/>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FD7286"/>
    <w:multiLevelType w:val="hybridMultilevel"/>
    <w:tmpl w:val="B6AA1EC6"/>
    <w:lvl w:ilvl="0" w:tplc="A3626F3E">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3" w15:restartNumberingAfterBreak="0">
    <w:nsid w:val="512A03CD"/>
    <w:multiLevelType w:val="hybridMultilevel"/>
    <w:tmpl w:val="E8D25922"/>
    <w:lvl w:ilvl="0" w:tplc="A3626F3E">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4" w15:restartNumberingAfterBreak="0">
    <w:nsid w:val="5DD44AC1"/>
    <w:multiLevelType w:val="hybridMultilevel"/>
    <w:tmpl w:val="84B0DB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4054D3D"/>
    <w:multiLevelType w:val="hybridMultilevel"/>
    <w:tmpl w:val="B782A152"/>
    <w:lvl w:ilvl="0" w:tplc="A3626F3E">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6" w15:restartNumberingAfterBreak="0">
    <w:nsid w:val="6A4537E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6A797DCC"/>
    <w:multiLevelType w:val="hybridMultilevel"/>
    <w:tmpl w:val="B9C8CFAE"/>
    <w:lvl w:ilvl="0" w:tplc="A3626F3E">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8" w15:restartNumberingAfterBreak="0">
    <w:nsid w:val="77636B39"/>
    <w:multiLevelType w:val="hybridMultilevel"/>
    <w:tmpl w:val="2D08ED8C"/>
    <w:lvl w:ilvl="0" w:tplc="D0FE3DB8">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15:restartNumberingAfterBreak="0">
    <w:nsid w:val="782A3D9D"/>
    <w:multiLevelType w:val="hybridMultilevel"/>
    <w:tmpl w:val="F072000C"/>
    <w:lvl w:ilvl="0" w:tplc="A3626F3E">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num w:numId="1">
    <w:abstractNumId w:val="9"/>
  </w:num>
  <w:num w:numId="2">
    <w:abstractNumId w:val="10"/>
  </w:num>
  <w:num w:numId="3">
    <w:abstractNumId w:val="1"/>
  </w:num>
  <w:num w:numId="4">
    <w:abstractNumId w:val="16"/>
  </w:num>
  <w:num w:numId="5">
    <w:abstractNumId w:val="5"/>
  </w:num>
  <w:num w:numId="6">
    <w:abstractNumId w:val="0"/>
    <w:lvlOverride w:ilvl="0">
      <w:lvl w:ilvl="0">
        <w:numFmt w:val="bullet"/>
        <w:lvlText w:val="-"/>
        <w:legacy w:legacy="1" w:legacySpace="0" w:legacyIndent="226"/>
        <w:lvlJc w:val="left"/>
        <w:rPr>
          <w:rFonts w:ascii="Times New Roman" w:hAnsi="Times New Roman" w:cs="Times New Roman" w:hint="default"/>
        </w:rPr>
      </w:lvl>
    </w:lvlOverride>
  </w:num>
  <w:num w:numId="7">
    <w:abstractNumId w:val="2"/>
  </w:num>
  <w:num w:numId="8">
    <w:abstractNumId w:val="4"/>
  </w:num>
  <w:num w:numId="9">
    <w:abstractNumId w:val="19"/>
  </w:num>
  <w:num w:numId="10">
    <w:abstractNumId w:val="6"/>
  </w:num>
  <w:num w:numId="11">
    <w:abstractNumId w:val="13"/>
  </w:num>
  <w:num w:numId="12">
    <w:abstractNumId w:val="15"/>
  </w:num>
  <w:num w:numId="13">
    <w:abstractNumId w:val="7"/>
  </w:num>
  <w:num w:numId="14">
    <w:abstractNumId w:val="12"/>
  </w:num>
  <w:num w:numId="15">
    <w:abstractNumId w:val="17"/>
  </w:num>
  <w:num w:numId="16">
    <w:abstractNumId w:val="3"/>
    <w:lvlOverride w:ilvl="0">
      <w:startOverride w:val="1"/>
    </w:lvlOverride>
  </w:num>
  <w:num w:numId="17">
    <w:abstractNumId w:val="14"/>
  </w:num>
  <w:num w:numId="18">
    <w:abstractNumId w:val="11"/>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90"/>
    <w:rsid w:val="000003BF"/>
    <w:rsid w:val="00013C46"/>
    <w:rsid w:val="00017828"/>
    <w:rsid w:val="00030693"/>
    <w:rsid w:val="000377D4"/>
    <w:rsid w:val="00041A28"/>
    <w:rsid w:val="00080B3E"/>
    <w:rsid w:val="00102876"/>
    <w:rsid w:val="00170D32"/>
    <w:rsid w:val="001A1143"/>
    <w:rsid w:val="001B65B2"/>
    <w:rsid w:val="00207EE9"/>
    <w:rsid w:val="00251E98"/>
    <w:rsid w:val="00286999"/>
    <w:rsid w:val="002C4C1D"/>
    <w:rsid w:val="002D6790"/>
    <w:rsid w:val="002E1627"/>
    <w:rsid w:val="00302D10"/>
    <w:rsid w:val="00303672"/>
    <w:rsid w:val="00305821"/>
    <w:rsid w:val="00391928"/>
    <w:rsid w:val="00424407"/>
    <w:rsid w:val="00456319"/>
    <w:rsid w:val="00482BE4"/>
    <w:rsid w:val="00497F32"/>
    <w:rsid w:val="004C418C"/>
    <w:rsid w:val="004E5C5F"/>
    <w:rsid w:val="004F7362"/>
    <w:rsid w:val="005523E4"/>
    <w:rsid w:val="005E0D4F"/>
    <w:rsid w:val="00640D21"/>
    <w:rsid w:val="006F0F13"/>
    <w:rsid w:val="006F45C6"/>
    <w:rsid w:val="007248B5"/>
    <w:rsid w:val="0072694E"/>
    <w:rsid w:val="00814473"/>
    <w:rsid w:val="008D0E0B"/>
    <w:rsid w:val="008D1597"/>
    <w:rsid w:val="0094487B"/>
    <w:rsid w:val="00946D5C"/>
    <w:rsid w:val="009D4D01"/>
    <w:rsid w:val="00A06500"/>
    <w:rsid w:val="00A15305"/>
    <w:rsid w:val="00A455AB"/>
    <w:rsid w:val="00A66078"/>
    <w:rsid w:val="00A66CF5"/>
    <w:rsid w:val="00A67270"/>
    <w:rsid w:val="00AD6C6D"/>
    <w:rsid w:val="00B10210"/>
    <w:rsid w:val="00B17FCE"/>
    <w:rsid w:val="00B6777C"/>
    <w:rsid w:val="00BB4A76"/>
    <w:rsid w:val="00BE1148"/>
    <w:rsid w:val="00C963AF"/>
    <w:rsid w:val="00D36F88"/>
    <w:rsid w:val="00D719CC"/>
    <w:rsid w:val="00D939C3"/>
    <w:rsid w:val="00E6100A"/>
    <w:rsid w:val="00E74F55"/>
    <w:rsid w:val="00EE64E6"/>
    <w:rsid w:val="00F00867"/>
    <w:rsid w:val="00F10AE8"/>
    <w:rsid w:val="00F113A5"/>
    <w:rsid w:val="00F37E98"/>
    <w:rsid w:val="00F80E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D64FB0"/>
  <w15:docId w15:val="{F06AB162-C15D-4A0E-94B7-6DC39CEB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867"/>
    <w:pPr>
      <w:spacing w:line="276" w:lineRule="auto"/>
    </w:pPr>
    <w:rPr>
      <w:sz w:val="28"/>
      <w:szCs w:val="28"/>
      <w:lang w:val="ru-RU" w:eastAsia="en-US"/>
    </w:rPr>
  </w:style>
  <w:style w:type="paragraph" w:styleId="Heading2">
    <w:name w:val="heading 2"/>
    <w:basedOn w:val="Normal"/>
    <w:next w:val="Normal"/>
    <w:link w:val="Heading2Char"/>
    <w:uiPriority w:val="99"/>
    <w:qFormat/>
    <w:rsid w:val="00207EE9"/>
    <w:pPr>
      <w:keepNext/>
      <w:spacing w:before="240" w:after="60" w:line="240" w:lineRule="auto"/>
      <w:outlineLvl w:val="1"/>
    </w:pPr>
    <w:rPr>
      <w:rFonts w:ascii="Arial" w:eastAsia="Times New Roman" w:hAnsi="Arial" w:cs="Arial"/>
      <w:b/>
      <w:bCs/>
      <w:i/>
      <w:iCs/>
      <w:lang w:eastAsia="ru-RU"/>
    </w:rPr>
  </w:style>
  <w:style w:type="paragraph" w:styleId="Heading6">
    <w:name w:val="heading 6"/>
    <w:basedOn w:val="Normal"/>
    <w:next w:val="Normal"/>
    <w:link w:val="Heading6Char"/>
    <w:uiPriority w:val="99"/>
    <w:qFormat/>
    <w:rsid w:val="00207EE9"/>
    <w:pPr>
      <w:widowControl w:val="0"/>
      <w:autoSpaceDE w:val="0"/>
      <w:autoSpaceDN w:val="0"/>
      <w:adjustRightInd w:val="0"/>
      <w:spacing w:before="240" w:after="60" w:line="240" w:lineRule="auto"/>
      <w:outlineLvl w:val="5"/>
    </w:pPr>
    <w:rPr>
      <w:rFonts w:ascii="Calibri" w:eastAsia="Times New Roman" w:hAnsi="Calibri" w:cs="Calibri"/>
      <w:b/>
      <w:bCs/>
      <w:sz w:val="22"/>
      <w:szCs w:val="22"/>
      <w:lang w:val="uk-UA" w:eastAsia="uk-UA"/>
    </w:rPr>
  </w:style>
  <w:style w:type="paragraph" w:styleId="Heading8">
    <w:name w:val="heading 8"/>
    <w:basedOn w:val="Normal"/>
    <w:next w:val="Normal"/>
    <w:link w:val="Heading8Char"/>
    <w:uiPriority w:val="99"/>
    <w:qFormat/>
    <w:rsid w:val="00207EE9"/>
    <w:pPr>
      <w:spacing w:before="240" w:after="60" w:line="240" w:lineRule="auto"/>
      <w:outlineLvl w:val="7"/>
    </w:pPr>
    <w:rPr>
      <w:rFonts w:ascii="Calibri" w:eastAsia="Times New Roman" w:hAnsi="Calibri" w:cs="Calibri"/>
      <w:i/>
      <w:iCs/>
      <w:sz w:val="24"/>
      <w:szCs w:val="24"/>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07EE9"/>
    <w:rPr>
      <w:rFonts w:ascii="Arial" w:hAnsi="Arial" w:cs="Arial"/>
      <w:b/>
      <w:bCs/>
      <w:i/>
      <w:iCs/>
      <w:lang w:eastAsia="ru-RU"/>
    </w:rPr>
  </w:style>
  <w:style w:type="character" w:customStyle="1" w:styleId="Heading6Char">
    <w:name w:val="Heading 6 Char"/>
    <w:basedOn w:val="DefaultParagraphFont"/>
    <w:link w:val="Heading6"/>
    <w:uiPriority w:val="99"/>
    <w:locked/>
    <w:rsid w:val="00207EE9"/>
    <w:rPr>
      <w:rFonts w:ascii="Calibri" w:hAnsi="Calibri" w:cs="Calibri"/>
      <w:b/>
      <w:bCs/>
      <w:sz w:val="22"/>
      <w:szCs w:val="22"/>
    </w:rPr>
  </w:style>
  <w:style w:type="character" w:customStyle="1" w:styleId="Heading8Char">
    <w:name w:val="Heading 8 Char"/>
    <w:basedOn w:val="DefaultParagraphFont"/>
    <w:link w:val="Heading8"/>
    <w:uiPriority w:val="99"/>
    <w:locked/>
    <w:rsid w:val="00207EE9"/>
    <w:rPr>
      <w:rFonts w:ascii="Calibri" w:hAnsi="Calibri" w:cs="Calibri"/>
      <w:i/>
      <w:iCs/>
      <w:sz w:val="24"/>
      <w:szCs w:val="24"/>
    </w:rPr>
  </w:style>
  <w:style w:type="paragraph" w:styleId="ListParagraph">
    <w:name w:val="List Paragraph"/>
    <w:basedOn w:val="Normal"/>
    <w:uiPriority w:val="99"/>
    <w:qFormat/>
    <w:rsid w:val="00286999"/>
    <w:pPr>
      <w:ind w:left="720"/>
    </w:pPr>
    <w:rPr>
      <w:color w:val="000000"/>
    </w:rPr>
  </w:style>
  <w:style w:type="paragraph" w:customStyle="1" w:styleId="Default">
    <w:name w:val="Default"/>
    <w:rsid w:val="00303672"/>
    <w:pPr>
      <w:autoSpaceDE w:val="0"/>
      <w:autoSpaceDN w:val="0"/>
      <w:adjustRightInd w:val="0"/>
    </w:pPr>
    <w:rPr>
      <w:color w:val="000000"/>
      <w:sz w:val="24"/>
      <w:szCs w:val="24"/>
      <w:lang w:val="ru-RU" w:eastAsia="en-US"/>
    </w:rPr>
  </w:style>
  <w:style w:type="character" w:styleId="Hyperlink">
    <w:name w:val="Hyperlink"/>
    <w:basedOn w:val="DefaultParagraphFont"/>
    <w:uiPriority w:val="99"/>
    <w:rsid w:val="00814473"/>
    <w:rPr>
      <w:color w:val="0000FF"/>
      <w:u w:val="single"/>
    </w:rPr>
  </w:style>
  <w:style w:type="character" w:customStyle="1" w:styleId="a">
    <w:name w:val="Знак"/>
    <w:uiPriority w:val="99"/>
    <w:rsid w:val="00207EE9"/>
    <w:rPr>
      <w:rFonts w:ascii="Calibri" w:hAnsi="Calibri" w:cs="Calibri"/>
      <w:b/>
      <w:bCs/>
      <w:sz w:val="22"/>
      <w:szCs w:val="22"/>
    </w:rPr>
  </w:style>
  <w:style w:type="paragraph" w:customStyle="1" w:styleId="3">
    <w:name w:val="Стиль3"/>
    <w:basedOn w:val="Normal"/>
    <w:uiPriority w:val="99"/>
    <w:rsid w:val="00207EE9"/>
    <w:pPr>
      <w:widowControl w:val="0"/>
      <w:spacing w:line="240" w:lineRule="auto"/>
      <w:jc w:val="center"/>
    </w:pPr>
    <w:rPr>
      <w:rFonts w:eastAsia="Times New Roman"/>
      <w:sz w:val="24"/>
      <w:szCs w:val="24"/>
      <w:lang w:val="uk-UA" w:eastAsia="ru-RU"/>
    </w:rPr>
  </w:style>
  <w:style w:type="paragraph" w:styleId="BodyTextIndent">
    <w:name w:val="Body Text Indent"/>
    <w:basedOn w:val="Normal"/>
    <w:link w:val="BodyTextIndentChar"/>
    <w:uiPriority w:val="99"/>
    <w:semiHidden/>
    <w:rsid w:val="00207EE9"/>
    <w:pPr>
      <w:spacing w:after="120" w:line="240" w:lineRule="auto"/>
      <w:ind w:left="283"/>
    </w:pPr>
    <w:rPr>
      <w:rFonts w:eastAsia="Times New Roman"/>
      <w:sz w:val="24"/>
      <w:szCs w:val="24"/>
      <w:lang w:eastAsia="ru-RU"/>
    </w:rPr>
  </w:style>
  <w:style w:type="character" w:customStyle="1" w:styleId="BodyTextIndentChar">
    <w:name w:val="Body Text Indent Char"/>
    <w:basedOn w:val="DefaultParagraphFont"/>
    <w:link w:val="BodyTextIndent"/>
    <w:uiPriority w:val="99"/>
    <w:semiHidden/>
    <w:locked/>
    <w:rsid w:val="00207EE9"/>
    <w:rPr>
      <w:rFonts w:eastAsia="Times New Roman"/>
      <w:sz w:val="24"/>
      <w:szCs w:val="24"/>
      <w:lang w:eastAsia="ru-RU"/>
    </w:rPr>
  </w:style>
  <w:style w:type="paragraph" w:styleId="BodyText">
    <w:name w:val="Body Text"/>
    <w:basedOn w:val="Normal"/>
    <w:link w:val="BodyTextChar"/>
    <w:uiPriority w:val="99"/>
    <w:semiHidden/>
    <w:rsid w:val="00207EE9"/>
    <w:pPr>
      <w:spacing w:after="120"/>
    </w:pPr>
    <w:rPr>
      <w:rFonts w:ascii="Calibri" w:hAnsi="Calibri" w:cs="Calibri"/>
      <w:sz w:val="22"/>
      <w:szCs w:val="22"/>
      <w:lang w:val="uk-UA"/>
    </w:rPr>
  </w:style>
  <w:style w:type="character" w:customStyle="1" w:styleId="BodyTextChar">
    <w:name w:val="Body Text Char"/>
    <w:basedOn w:val="DefaultParagraphFont"/>
    <w:link w:val="BodyText"/>
    <w:uiPriority w:val="99"/>
    <w:semiHidden/>
    <w:locked/>
    <w:rsid w:val="00207EE9"/>
    <w:rPr>
      <w:rFonts w:ascii="Calibri" w:eastAsia="Times New Roman" w:hAnsi="Calibri" w:cs="Calibri"/>
      <w:sz w:val="22"/>
      <w:szCs w:val="22"/>
      <w:lang w:val="uk-UA"/>
    </w:rPr>
  </w:style>
  <w:style w:type="paragraph" w:styleId="FootnoteText">
    <w:name w:val="footnote text"/>
    <w:basedOn w:val="Normal"/>
    <w:link w:val="FootnoteTextChar"/>
    <w:uiPriority w:val="99"/>
    <w:semiHidden/>
    <w:rsid w:val="00207EE9"/>
    <w:pPr>
      <w:spacing w:after="200"/>
    </w:pPr>
    <w:rPr>
      <w:rFonts w:ascii="Calibri" w:hAnsi="Calibri" w:cs="Calibri"/>
      <w:sz w:val="20"/>
      <w:szCs w:val="20"/>
      <w:lang w:val="uk-UA"/>
    </w:rPr>
  </w:style>
  <w:style w:type="character" w:customStyle="1" w:styleId="FootnoteTextChar">
    <w:name w:val="Footnote Text Char"/>
    <w:basedOn w:val="DefaultParagraphFont"/>
    <w:link w:val="FootnoteText"/>
    <w:uiPriority w:val="99"/>
    <w:semiHidden/>
    <w:locked/>
    <w:rsid w:val="00207EE9"/>
    <w:rPr>
      <w:rFonts w:ascii="Calibri" w:eastAsia="Times New Roman" w:hAnsi="Calibri" w:cs="Calibri"/>
      <w:sz w:val="20"/>
      <w:szCs w:val="20"/>
    </w:rPr>
  </w:style>
  <w:style w:type="character" w:styleId="FootnoteReference">
    <w:name w:val="footnote reference"/>
    <w:basedOn w:val="DefaultParagraphFont"/>
    <w:uiPriority w:val="99"/>
    <w:semiHidden/>
    <w:rsid w:val="00207EE9"/>
    <w:rPr>
      <w:vertAlign w:val="superscript"/>
    </w:rPr>
  </w:style>
  <w:style w:type="paragraph" w:styleId="Header">
    <w:name w:val="header"/>
    <w:basedOn w:val="Normal"/>
    <w:link w:val="HeaderChar"/>
    <w:uiPriority w:val="99"/>
    <w:semiHidden/>
    <w:rsid w:val="00207EE9"/>
    <w:pPr>
      <w:tabs>
        <w:tab w:val="center" w:pos="4819"/>
        <w:tab w:val="right" w:pos="9639"/>
      </w:tabs>
      <w:spacing w:after="200"/>
    </w:pPr>
    <w:rPr>
      <w:rFonts w:ascii="Calibri" w:hAnsi="Calibri" w:cs="Calibri"/>
      <w:sz w:val="22"/>
      <w:szCs w:val="22"/>
      <w:lang w:val="uk-UA"/>
    </w:rPr>
  </w:style>
  <w:style w:type="character" w:customStyle="1" w:styleId="HeaderChar">
    <w:name w:val="Header Char"/>
    <w:basedOn w:val="DefaultParagraphFont"/>
    <w:link w:val="Header"/>
    <w:uiPriority w:val="99"/>
    <w:semiHidden/>
    <w:locked/>
    <w:rsid w:val="00207EE9"/>
    <w:rPr>
      <w:rFonts w:ascii="Calibri" w:eastAsia="Times New Roman" w:hAnsi="Calibri" w:cs="Calibri"/>
      <w:sz w:val="22"/>
      <w:szCs w:val="22"/>
    </w:rPr>
  </w:style>
  <w:style w:type="paragraph" w:styleId="Footer">
    <w:name w:val="footer"/>
    <w:basedOn w:val="Normal"/>
    <w:link w:val="FooterChar"/>
    <w:uiPriority w:val="99"/>
    <w:semiHidden/>
    <w:rsid w:val="00207EE9"/>
    <w:pPr>
      <w:tabs>
        <w:tab w:val="center" w:pos="4819"/>
        <w:tab w:val="right" w:pos="9639"/>
      </w:tabs>
      <w:spacing w:after="200"/>
    </w:pPr>
    <w:rPr>
      <w:rFonts w:ascii="Calibri" w:hAnsi="Calibri" w:cs="Calibri"/>
      <w:sz w:val="22"/>
      <w:szCs w:val="22"/>
      <w:lang w:val="uk-UA"/>
    </w:rPr>
  </w:style>
  <w:style w:type="character" w:customStyle="1" w:styleId="FooterChar">
    <w:name w:val="Footer Char"/>
    <w:basedOn w:val="DefaultParagraphFont"/>
    <w:link w:val="Footer"/>
    <w:uiPriority w:val="99"/>
    <w:semiHidden/>
    <w:locked/>
    <w:rsid w:val="00207EE9"/>
    <w:rPr>
      <w:rFonts w:ascii="Calibri" w:eastAsia="Times New Roman" w:hAnsi="Calibri" w:cs="Calibri"/>
      <w:sz w:val="22"/>
      <w:szCs w:val="22"/>
    </w:rPr>
  </w:style>
  <w:style w:type="paragraph" w:styleId="BodyTextIndent2">
    <w:name w:val="Body Text Indent 2"/>
    <w:basedOn w:val="Normal"/>
    <w:link w:val="BodyTextIndent2Char"/>
    <w:uiPriority w:val="99"/>
    <w:semiHidden/>
    <w:rsid w:val="00207EE9"/>
    <w:pPr>
      <w:spacing w:after="120" w:line="480" w:lineRule="auto"/>
      <w:ind w:left="283"/>
    </w:pPr>
    <w:rPr>
      <w:rFonts w:ascii="Calibri" w:hAnsi="Calibri" w:cs="Calibri"/>
      <w:sz w:val="22"/>
      <w:szCs w:val="22"/>
      <w:lang w:val="uk-UA"/>
    </w:rPr>
  </w:style>
  <w:style w:type="character" w:customStyle="1" w:styleId="BodyTextIndent2Char">
    <w:name w:val="Body Text Indent 2 Char"/>
    <w:basedOn w:val="DefaultParagraphFont"/>
    <w:link w:val="BodyTextIndent2"/>
    <w:uiPriority w:val="99"/>
    <w:semiHidden/>
    <w:locked/>
    <w:rsid w:val="00207EE9"/>
    <w:rPr>
      <w:rFonts w:ascii="Calibri" w:eastAsia="Times New Roman" w:hAnsi="Calibri" w:cs="Calibri"/>
      <w:sz w:val="22"/>
      <w:szCs w:val="22"/>
    </w:rPr>
  </w:style>
  <w:style w:type="paragraph" w:customStyle="1" w:styleId="Iniiaiieoaeno2">
    <w:name w:val="Iniiaiie oaeno 2"/>
    <w:basedOn w:val="Normal"/>
    <w:uiPriority w:val="99"/>
    <w:rsid w:val="00207EE9"/>
    <w:pPr>
      <w:overflowPunct w:val="0"/>
      <w:autoSpaceDE w:val="0"/>
      <w:autoSpaceDN w:val="0"/>
      <w:adjustRightInd w:val="0"/>
      <w:spacing w:line="240" w:lineRule="auto"/>
      <w:ind w:firstLine="709"/>
      <w:jc w:val="both"/>
      <w:textAlignment w:val="baseline"/>
    </w:pPr>
    <w:rPr>
      <w:rFonts w:ascii="1251 Times" w:eastAsia="Times New Roman" w:hAnsi="1251 Times" w:cs="1251 Times"/>
      <w:lang w:val="uk-UA" w:eastAsia="ru-RU"/>
    </w:rPr>
  </w:style>
  <w:style w:type="paragraph" w:styleId="NoSpacing">
    <w:name w:val="No Spacing"/>
    <w:uiPriority w:val="99"/>
    <w:qFormat/>
    <w:rsid w:val="00207EE9"/>
    <w:rPr>
      <w:rFonts w:ascii="Calibri" w:hAnsi="Calibri" w:cs="Calibri"/>
      <w:lang w:eastAsia="en-US"/>
    </w:rPr>
  </w:style>
  <w:style w:type="table" w:styleId="TableGrid">
    <w:name w:val="Table Grid"/>
    <w:basedOn w:val="TableNormal"/>
    <w:uiPriority w:val="59"/>
    <w:rsid w:val="00EE64E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D719CC"/>
    <w:pPr>
      <w:suppressAutoHyphens/>
      <w:spacing w:after="200"/>
      <w:ind w:left="720"/>
      <w:contextualSpacing/>
    </w:pPr>
    <w:rPr>
      <w:rFonts w:ascii="Calibri" w:eastAsia="Calibri" w:hAnsi="Calibri" w:cs="Calibri"/>
      <w:sz w:val="22"/>
      <w:szCs w:val="22"/>
      <w:lang w:eastAsia="zh-CN"/>
    </w:rPr>
  </w:style>
  <w:style w:type="paragraph" w:styleId="NormalWeb">
    <w:name w:val="Normal (Web)"/>
    <w:basedOn w:val="Normal"/>
    <w:unhideWhenUsed/>
    <w:rsid w:val="00D719CC"/>
    <w:pPr>
      <w:widowControl w:val="0"/>
      <w:suppressAutoHyphens/>
      <w:spacing w:before="280" w:after="280" w:line="240" w:lineRule="auto"/>
    </w:pPr>
    <w:rPr>
      <w:rFonts w:eastAsia="Times New Roman"/>
      <w:kern w:val="2"/>
      <w:sz w:val="24"/>
      <w:szCs w:val="24"/>
      <w:lang w:val="uk-UA" w:eastAsia="zh-CN" w:bidi="hi-IN"/>
    </w:rPr>
  </w:style>
  <w:style w:type="paragraph" w:customStyle="1" w:styleId="a0">
    <w:name w:val="Вміст таблиці"/>
    <w:basedOn w:val="Normal"/>
    <w:rsid w:val="00A06500"/>
    <w:pPr>
      <w:suppressLineNumbers/>
      <w:suppressAutoHyphens/>
      <w:spacing w:line="240" w:lineRule="auto"/>
    </w:pPr>
    <w:rPr>
      <w:rFonts w:eastAsia="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18965">
      <w:marLeft w:val="0"/>
      <w:marRight w:val="0"/>
      <w:marTop w:val="0"/>
      <w:marBottom w:val="0"/>
      <w:divBdr>
        <w:top w:val="none" w:sz="0" w:space="0" w:color="auto"/>
        <w:left w:val="none" w:sz="0" w:space="0" w:color="auto"/>
        <w:bottom w:val="none" w:sz="0" w:space="0" w:color="auto"/>
        <w:right w:val="none" w:sz="0" w:space="0" w:color="auto"/>
      </w:divBdr>
      <w:divsChild>
        <w:div w:id="920718966">
          <w:marLeft w:val="0"/>
          <w:marRight w:val="0"/>
          <w:marTop w:val="0"/>
          <w:marBottom w:val="0"/>
          <w:divBdr>
            <w:top w:val="none" w:sz="0" w:space="4" w:color="auto"/>
            <w:left w:val="none" w:sz="0" w:space="5" w:color="auto"/>
            <w:bottom w:val="single" w:sz="6" w:space="4" w:color="E0E0E0"/>
            <w:right w:val="none" w:sz="0" w:space="5" w:color="auto"/>
          </w:divBdr>
        </w:div>
        <w:div w:id="920718968">
          <w:marLeft w:val="0"/>
          <w:marRight w:val="0"/>
          <w:marTop w:val="0"/>
          <w:marBottom w:val="0"/>
          <w:divBdr>
            <w:top w:val="none" w:sz="0" w:space="4" w:color="auto"/>
            <w:left w:val="none" w:sz="0" w:space="5" w:color="auto"/>
            <w:bottom w:val="single" w:sz="6" w:space="4" w:color="E0E0E0"/>
            <w:right w:val="none" w:sz="0" w:space="5" w:color="auto"/>
          </w:divBdr>
        </w:div>
      </w:divsChild>
    </w:div>
    <w:div w:id="920718967">
      <w:marLeft w:val="0"/>
      <w:marRight w:val="0"/>
      <w:marTop w:val="0"/>
      <w:marBottom w:val="0"/>
      <w:divBdr>
        <w:top w:val="none" w:sz="0" w:space="0" w:color="auto"/>
        <w:left w:val="none" w:sz="0" w:space="0" w:color="auto"/>
        <w:bottom w:val="none" w:sz="0" w:space="0" w:color="auto"/>
        <w:right w:val="none" w:sz="0" w:space="0" w:color="auto"/>
      </w:divBdr>
    </w:div>
    <w:div w:id="920718969">
      <w:marLeft w:val="0"/>
      <w:marRight w:val="0"/>
      <w:marTop w:val="0"/>
      <w:marBottom w:val="0"/>
      <w:divBdr>
        <w:top w:val="none" w:sz="0" w:space="0" w:color="auto"/>
        <w:left w:val="none" w:sz="0" w:space="0" w:color="auto"/>
        <w:bottom w:val="none" w:sz="0" w:space="0" w:color="auto"/>
        <w:right w:val="none" w:sz="0" w:space="0" w:color="auto"/>
      </w:divBdr>
    </w:div>
    <w:div w:id="920718970">
      <w:marLeft w:val="0"/>
      <w:marRight w:val="0"/>
      <w:marTop w:val="0"/>
      <w:marBottom w:val="0"/>
      <w:divBdr>
        <w:top w:val="none" w:sz="0" w:space="0" w:color="auto"/>
        <w:left w:val="none" w:sz="0" w:space="0" w:color="auto"/>
        <w:bottom w:val="none" w:sz="0" w:space="0" w:color="auto"/>
        <w:right w:val="none" w:sz="0" w:space="0" w:color="auto"/>
      </w:divBdr>
    </w:div>
    <w:div w:id="920718972">
      <w:marLeft w:val="0"/>
      <w:marRight w:val="0"/>
      <w:marTop w:val="0"/>
      <w:marBottom w:val="0"/>
      <w:divBdr>
        <w:top w:val="none" w:sz="0" w:space="0" w:color="auto"/>
        <w:left w:val="none" w:sz="0" w:space="0" w:color="auto"/>
        <w:bottom w:val="none" w:sz="0" w:space="0" w:color="auto"/>
        <w:right w:val="none" w:sz="0" w:space="0" w:color="auto"/>
      </w:divBdr>
    </w:div>
    <w:div w:id="920718974">
      <w:marLeft w:val="0"/>
      <w:marRight w:val="0"/>
      <w:marTop w:val="0"/>
      <w:marBottom w:val="0"/>
      <w:divBdr>
        <w:top w:val="none" w:sz="0" w:space="0" w:color="auto"/>
        <w:left w:val="none" w:sz="0" w:space="0" w:color="auto"/>
        <w:bottom w:val="none" w:sz="0" w:space="0" w:color="auto"/>
        <w:right w:val="none" w:sz="0" w:space="0" w:color="auto"/>
      </w:divBdr>
      <w:divsChild>
        <w:div w:id="920718971">
          <w:marLeft w:val="0"/>
          <w:marRight w:val="0"/>
          <w:marTop w:val="0"/>
          <w:marBottom w:val="0"/>
          <w:divBdr>
            <w:top w:val="none" w:sz="0" w:space="0" w:color="auto"/>
            <w:left w:val="none" w:sz="0" w:space="0" w:color="auto"/>
            <w:bottom w:val="none" w:sz="0" w:space="0" w:color="auto"/>
            <w:right w:val="none" w:sz="0" w:space="0" w:color="auto"/>
          </w:divBdr>
        </w:div>
        <w:div w:id="920718973">
          <w:marLeft w:val="0"/>
          <w:marRight w:val="0"/>
          <w:marTop w:val="0"/>
          <w:marBottom w:val="0"/>
          <w:divBdr>
            <w:top w:val="none" w:sz="0" w:space="4" w:color="auto"/>
            <w:left w:val="none" w:sz="0" w:space="5" w:color="auto"/>
            <w:bottom w:val="single" w:sz="6" w:space="4" w:color="E0E0E0"/>
            <w:right w:val="none" w:sz="0" w:space="5" w:color="auto"/>
          </w:divBdr>
        </w:div>
        <w:div w:id="920718984">
          <w:marLeft w:val="0"/>
          <w:marRight w:val="0"/>
          <w:marTop w:val="0"/>
          <w:marBottom w:val="0"/>
          <w:divBdr>
            <w:top w:val="none" w:sz="0" w:space="4" w:color="auto"/>
            <w:left w:val="none" w:sz="0" w:space="5" w:color="auto"/>
            <w:bottom w:val="single" w:sz="6" w:space="4" w:color="E0E0E0"/>
            <w:right w:val="none" w:sz="0" w:space="5" w:color="auto"/>
          </w:divBdr>
        </w:div>
        <w:div w:id="920718985">
          <w:marLeft w:val="0"/>
          <w:marRight w:val="0"/>
          <w:marTop w:val="0"/>
          <w:marBottom w:val="0"/>
          <w:divBdr>
            <w:top w:val="none" w:sz="0" w:space="4" w:color="auto"/>
            <w:left w:val="none" w:sz="0" w:space="5" w:color="auto"/>
            <w:bottom w:val="single" w:sz="6" w:space="4" w:color="E0E0E0"/>
            <w:right w:val="none" w:sz="0" w:space="5" w:color="auto"/>
          </w:divBdr>
        </w:div>
      </w:divsChild>
    </w:div>
    <w:div w:id="920718975">
      <w:marLeft w:val="0"/>
      <w:marRight w:val="0"/>
      <w:marTop w:val="0"/>
      <w:marBottom w:val="0"/>
      <w:divBdr>
        <w:top w:val="none" w:sz="0" w:space="0" w:color="auto"/>
        <w:left w:val="none" w:sz="0" w:space="0" w:color="auto"/>
        <w:bottom w:val="none" w:sz="0" w:space="0" w:color="auto"/>
        <w:right w:val="none" w:sz="0" w:space="0" w:color="auto"/>
      </w:divBdr>
    </w:div>
    <w:div w:id="920718976">
      <w:marLeft w:val="0"/>
      <w:marRight w:val="0"/>
      <w:marTop w:val="0"/>
      <w:marBottom w:val="0"/>
      <w:divBdr>
        <w:top w:val="none" w:sz="0" w:space="0" w:color="auto"/>
        <w:left w:val="none" w:sz="0" w:space="0" w:color="auto"/>
        <w:bottom w:val="none" w:sz="0" w:space="0" w:color="auto"/>
        <w:right w:val="none" w:sz="0" w:space="0" w:color="auto"/>
      </w:divBdr>
    </w:div>
    <w:div w:id="920718977">
      <w:marLeft w:val="0"/>
      <w:marRight w:val="0"/>
      <w:marTop w:val="0"/>
      <w:marBottom w:val="0"/>
      <w:divBdr>
        <w:top w:val="none" w:sz="0" w:space="0" w:color="auto"/>
        <w:left w:val="none" w:sz="0" w:space="0" w:color="auto"/>
        <w:bottom w:val="none" w:sz="0" w:space="0" w:color="auto"/>
        <w:right w:val="none" w:sz="0" w:space="0" w:color="auto"/>
      </w:divBdr>
    </w:div>
    <w:div w:id="920718978">
      <w:marLeft w:val="0"/>
      <w:marRight w:val="0"/>
      <w:marTop w:val="0"/>
      <w:marBottom w:val="0"/>
      <w:divBdr>
        <w:top w:val="none" w:sz="0" w:space="0" w:color="auto"/>
        <w:left w:val="none" w:sz="0" w:space="0" w:color="auto"/>
        <w:bottom w:val="none" w:sz="0" w:space="0" w:color="auto"/>
        <w:right w:val="none" w:sz="0" w:space="0" w:color="auto"/>
      </w:divBdr>
    </w:div>
    <w:div w:id="920718979">
      <w:marLeft w:val="0"/>
      <w:marRight w:val="0"/>
      <w:marTop w:val="0"/>
      <w:marBottom w:val="0"/>
      <w:divBdr>
        <w:top w:val="none" w:sz="0" w:space="0" w:color="auto"/>
        <w:left w:val="none" w:sz="0" w:space="0" w:color="auto"/>
        <w:bottom w:val="none" w:sz="0" w:space="0" w:color="auto"/>
        <w:right w:val="none" w:sz="0" w:space="0" w:color="auto"/>
      </w:divBdr>
    </w:div>
    <w:div w:id="920718980">
      <w:marLeft w:val="0"/>
      <w:marRight w:val="0"/>
      <w:marTop w:val="0"/>
      <w:marBottom w:val="0"/>
      <w:divBdr>
        <w:top w:val="none" w:sz="0" w:space="0" w:color="auto"/>
        <w:left w:val="none" w:sz="0" w:space="0" w:color="auto"/>
        <w:bottom w:val="none" w:sz="0" w:space="0" w:color="auto"/>
        <w:right w:val="none" w:sz="0" w:space="0" w:color="auto"/>
      </w:divBdr>
    </w:div>
    <w:div w:id="920718981">
      <w:marLeft w:val="0"/>
      <w:marRight w:val="0"/>
      <w:marTop w:val="0"/>
      <w:marBottom w:val="0"/>
      <w:divBdr>
        <w:top w:val="none" w:sz="0" w:space="0" w:color="auto"/>
        <w:left w:val="none" w:sz="0" w:space="0" w:color="auto"/>
        <w:bottom w:val="none" w:sz="0" w:space="0" w:color="auto"/>
        <w:right w:val="none" w:sz="0" w:space="0" w:color="auto"/>
      </w:divBdr>
    </w:div>
    <w:div w:id="920718982">
      <w:marLeft w:val="0"/>
      <w:marRight w:val="0"/>
      <w:marTop w:val="0"/>
      <w:marBottom w:val="0"/>
      <w:divBdr>
        <w:top w:val="none" w:sz="0" w:space="0" w:color="auto"/>
        <w:left w:val="none" w:sz="0" w:space="0" w:color="auto"/>
        <w:bottom w:val="none" w:sz="0" w:space="0" w:color="auto"/>
        <w:right w:val="none" w:sz="0" w:space="0" w:color="auto"/>
      </w:divBdr>
    </w:div>
    <w:div w:id="920718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24</Pages>
  <Words>6468</Words>
  <Characters>36869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МІНІСТЕРСТВО ОСВІТИ І НАУКИ УКРАЇНИ</vt:lpstr>
    </vt:vector>
  </TitlesOfParts>
  <Company>IrDep</Company>
  <LinksUpToDate>false</LinksUpToDate>
  <CharactersWithSpaces>43251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Lily</dc:creator>
  <cp:keywords/>
  <dc:description/>
  <cp:lastModifiedBy>Best</cp:lastModifiedBy>
  <cp:revision>18</cp:revision>
  <cp:lastPrinted>2018-09-17T11:27:00Z</cp:lastPrinted>
  <dcterms:created xsi:type="dcterms:W3CDTF">2018-10-04T10:16:00Z</dcterms:created>
  <dcterms:modified xsi:type="dcterms:W3CDTF">2018-10-14T11:41:00Z</dcterms:modified>
</cp:coreProperties>
</file>