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7855" w14:textId="77777777" w:rsidR="00D1117D" w:rsidRPr="00CF6188" w:rsidRDefault="00D1117D" w:rsidP="00D1117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61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bookmarkStart w:id="0" w:name="_GoBack"/>
      <w:r w:rsidRPr="00CF61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Судовий захист фізичних та юридичних осіб в ЄС</w:t>
      </w:r>
      <w:bookmarkEnd w:id="0"/>
      <w:r w:rsidRPr="00CF61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714C25A6" w14:textId="77777777" w:rsidR="00D1117D" w:rsidRDefault="00D1117D" w:rsidP="00D1117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Доц. Яворська І.М.</w:t>
      </w:r>
    </w:p>
    <w:p w14:paraId="114D4A2B" w14:textId="77777777" w:rsidR="00D1117D" w:rsidRPr="005908FC" w:rsidRDefault="00D1117D" w:rsidP="00D1117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Курс: </w:t>
      </w:r>
      <w:r>
        <w:rPr>
          <w:rFonts w:ascii="Times New Roman" w:hAnsi="Times New Roman" w:cs="Times New Roman"/>
          <w:b/>
          <w:bCs/>
          <w:lang w:val="en-US"/>
        </w:rPr>
        <w:t>V</w:t>
      </w:r>
    </w:p>
    <w:p w14:paraId="5D2306A5" w14:textId="77777777" w:rsidR="00D1117D" w:rsidRDefault="00D1117D" w:rsidP="00D1117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 год.</w:t>
      </w:r>
    </w:p>
    <w:p w14:paraId="23C2DC88" w14:textId="77777777" w:rsidR="00D1117D" w:rsidRPr="009E0AB2" w:rsidRDefault="00D1117D" w:rsidP="00D1117D">
      <w:pPr>
        <w:jc w:val="both"/>
        <w:rPr>
          <w:rFonts w:ascii="Times New Roman" w:hAnsi="Times New Roman" w:cs="Times New Roman"/>
          <w:b/>
          <w:bCs/>
        </w:rPr>
      </w:pPr>
      <w:r w:rsidRPr="009E0AB2">
        <w:rPr>
          <w:rFonts w:ascii="Times New Roman" w:hAnsi="Times New Roman" w:cs="Times New Roman"/>
          <w:b/>
          <w:bCs/>
        </w:rPr>
        <w:t xml:space="preserve">Тема </w:t>
      </w:r>
      <w:r>
        <w:rPr>
          <w:rFonts w:ascii="Times New Roman" w:hAnsi="Times New Roman" w:cs="Times New Roman"/>
          <w:b/>
          <w:bCs/>
        </w:rPr>
        <w:t xml:space="preserve">1. </w:t>
      </w:r>
      <w:r w:rsidRPr="009E0AB2">
        <w:rPr>
          <w:rFonts w:ascii="Times New Roman" w:hAnsi="Times New Roman" w:cs="Times New Roman"/>
          <w:b/>
          <w:bCs/>
        </w:rPr>
        <w:t>Компетенція Суду Європейського Союзу згідно Лісабонського договору</w:t>
      </w:r>
      <w:r>
        <w:rPr>
          <w:rFonts w:ascii="Times New Roman" w:hAnsi="Times New Roman" w:cs="Times New Roman"/>
          <w:b/>
          <w:bCs/>
        </w:rPr>
        <w:t xml:space="preserve"> (2год.)</w:t>
      </w:r>
    </w:p>
    <w:p w14:paraId="0593192A" w14:textId="77777777" w:rsidR="00D1117D" w:rsidRDefault="00D1117D" w:rsidP="00D1117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2. Правовий статус Суду Європейського Союзу (4 год.)</w:t>
      </w:r>
    </w:p>
    <w:p w14:paraId="773905DE" w14:textId="77777777" w:rsidR="00D1117D" w:rsidRPr="00715364" w:rsidRDefault="00D1117D" w:rsidP="00D111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15364">
        <w:rPr>
          <w:rFonts w:ascii="Times New Roman" w:hAnsi="Times New Roman" w:cs="Times New Roman"/>
          <w:b/>
          <w:bCs/>
        </w:rPr>
        <w:t>Правовий статус суддів та Генеральних адвокатів</w:t>
      </w:r>
    </w:p>
    <w:p w14:paraId="61A31CE4" w14:textId="77777777" w:rsidR="00D1117D" w:rsidRPr="00715364" w:rsidRDefault="00D1117D" w:rsidP="00D111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15364">
        <w:rPr>
          <w:rFonts w:ascii="Times New Roman" w:hAnsi="Times New Roman" w:cs="Times New Roman"/>
          <w:b/>
          <w:bCs/>
        </w:rPr>
        <w:t>Організація Суду</w:t>
      </w:r>
    </w:p>
    <w:p w14:paraId="499851C9" w14:textId="77777777" w:rsidR="00D1117D" w:rsidRPr="00715364" w:rsidRDefault="00D1117D" w:rsidP="00D111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15364">
        <w:rPr>
          <w:rFonts w:ascii="Times New Roman" w:hAnsi="Times New Roman" w:cs="Times New Roman"/>
          <w:b/>
          <w:bCs/>
        </w:rPr>
        <w:t>Процедура Суду ЄС</w:t>
      </w:r>
    </w:p>
    <w:p w14:paraId="738668A1" w14:textId="77777777" w:rsidR="00D1117D" w:rsidRPr="00715364" w:rsidRDefault="00D1117D" w:rsidP="00D111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15364">
        <w:rPr>
          <w:rFonts w:ascii="Times New Roman" w:hAnsi="Times New Roman" w:cs="Times New Roman"/>
          <w:b/>
          <w:bCs/>
        </w:rPr>
        <w:t>Правовий статус Трибуналу</w:t>
      </w:r>
    </w:p>
    <w:p w14:paraId="0668D5D0" w14:textId="77777777" w:rsidR="00D1117D" w:rsidRPr="00715364" w:rsidRDefault="00D1117D" w:rsidP="00D111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15364">
        <w:rPr>
          <w:rFonts w:ascii="Times New Roman" w:hAnsi="Times New Roman" w:cs="Times New Roman"/>
          <w:b/>
          <w:bCs/>
        </w:rPr>
        <w:t>Спеціалізовані трибунали</w:t>
      </w:r>
    </w:p>
    <w:p w14:paraId="7EDF40A2" w14:textId="77777777" w:rsidR="00D1117D" w:rsidRPr="00715364" w:rsidRDefault="00D1117D" w:rsidP="00D111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15364">
        <w:rPr>
          <w:rFonts w:ascii="Times New Roman" w:hAnsi="Times New Roman" w:cs="Times New Roman"/>
          <w:b/>
          <w:bCs/>
        </w:rPr>
        <w:t>Трибунал у справах публічної служби</w:t>
      </w:r>
    </w:p>
    <w:p w14:paraId="55BF9045" w14:textId="77777777" w:rsidR="00D1117D" w:rsidRDefault="00D1117D" w:rsidP="00D1117D">
      <w:pPr>
        <w:jc w:val="both"/>
        <w:rPr>
          <w:rFonts w:ascii="Times New Roman" w:hAnsi="Times New Roman" w:cs="Times New Roman"/>
          <w:b/>
          <w:bCs/>
        </w:rPr>
      </w:pPr>
      <w:r w:rsidRPr="009E0AB2">
        <w:rPr>
          <w:rFonts w:ascii="Times New Roman" w:hAnsi="Times New Roman" w:cs="Times New Roman"/>
          <w:b/>
          <w:bCs/>
        </w:rPr>
        <w:t>Тема 3.</w:t>
      </w:r>
      <w:r>
        <w:rPr>
          <w:rFonts w:ascii="Times New Roman" w:hAnsi="Times New Roman" w:cs="Times New Roman"/>
          <w:b/>
          <w:bCs/>
        </w:rPr>
        <w:t xml:space="preserve"> </w:t>
      </w:r>
      <w:r w:rsidRPr="009E0AB2">
        <w:rPr>
          <w:rFonts w:ascii="Times New Roman" w:hAnsi="Times New Roman" w:cs="Times New Roman"/>
          <w:b/>
          <w:bCs/>
        </w:rPr>
        <w:t>Процедура преюдиційного розгляду Суду Європейського Союзу.</w:t>
      </w:r>
      <w:r>
        <w:rPr>
          <w:rFonts w:ascii="Times New Roman" w:hAnsi="Times New Roman" w:cs="Times New Roman"/>
          <w:b/>
          <w:bCs/>
        </w:rPr>
        <w:t xml:space="preserve"> ( 2год.)</w:t>
      </w:r>
    </w:p>
    <w:p w14:paraId="310E8600" w14:textId="77777777" w:rsidR="00D1117D" w:rsidRDefault="00D1117D" w:rsidP="00D1117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Література:</w:t>
      </w:r>
    </w:p>
    <w:p w14:paraId="15378D29" w14:textId="77777777" w:rsidR="00D1117D" w:rsidRPr="004F279A" w:rsidRDefault="00D1117D" w:rsidP="00D1117D">
      <w:pPr>
        <w:jc w:val="both"/>
        <w:rPr>
          <w:rFonts w:ascii="Times New Roman" w:hAnsi="Times New Roman" w:cs="Times New Roman"/>
        </w:rPr>
      </w:pPr>
      <w:r w:rsidRPr="004F279A">
        <w:rPr>
          <w:rFonts w:ascii="Times New Roman" w:hAnsi="Times New Roman" w:cs="Times New Roman"/>
        </w:rPr>
        <w:t>1. Консолідовані версії Договору про Європейський Союз та Договору про функціонування Європейського Союзу з протоколами те деклараціями//</w:t>
      </w:r>
      <w:r w:rsidRPr="004F279A">
        <w:t xml:space="preserve"> </w:t>
      </w:r>
      <w:hyperlink r:id="rId5" w:history="1">
        <w:r w:rsidRPr="004F279A">
          <w:rPr>
            <w:rStyle w:val="a3"/>
          </w:rPr>
          <w:t>https://zakon.rada.gov.ua/laws/show/994_b06</w:t>
        </w:r>
      </w:hyperlink>
    </w:p>
    <w:p w14:paraId="0F2F2B99" w14:textId="77777777" w:rsidR="00D1117D" w:rsidRPr="004F279A" w:rsidRDefault="00D1117D" w:rsidP="00D1117D">
      <w:pPr>
        <w:jc w:val="both"/>
        <w:rPr>
          <w:rFonts w:ascii="Times New Roman" w:hAnsi="Times New Roman" w:cs="Times New Roman"/>
        </w:rPr>
      </w:pPr>
      <w:r w:rsidRPr="004F279A">
        <w:rPr>
          <w:rFonts w:ascii="Times New Roman" w:hAnsi="Times New Roman" w:cs="Times New Roman"/>
        </w:rPr>
        <w:t xml:space="preserve">2.  Протокол про Статут Суду Європейського Союзу// </w:t>
      </w:r>
      <w:hyperlink r:id="rId6" w:history="1">
        <w:r w:rsidRPr="004F279A">
          <w:rPr>
            <w:rStyle w:val="a3"/>
            <w:rFonts w:ascii="Times New Roman" w:hAnsi="Times New Roman" w:cs="Times New Roman"/>
          </w:rPr>
          <w:t>https://zakon.rada.gov.ua/laws/show/994_618</w:t>
        </w:r>
      </w:hyperlink>
    </w:p>
    <w:p w14:paraId="1FA84DEC" w14:textId="77777777" w:rsidR="00D1117D" w:rsidRPr="004F279A" w:rsidRDefault="00D1117D" w:rsidP="00D1117D">
      <w:pPr>
        <w:jc w:val="both"/>
        <w:rPr>
          <w:rFonts w:ascii="Times New Roman" w:hAnsi="Times New Roman" w:cs="Times New Roman"/>
        </w:rPr>
      </w:pPr>
      <w:r w:rsidRPr="004F279A">
        <w:rPr>
          <w:rFonts w:ascii="Times New Roman" w:hAnsi="Times New Roman" w:cs="Times New Roman"/>
        </w:rPr>
        <w:t>3. І. Яворська, М. Микієвич. Суд Європейського Союзу: правовий статус та особливості реалізації правотворчої компетенції.-Львів, 2018</w:t>
      </w:r>
    </w:p>
    <w:p w14:paraId="16C21933" w14:textId="77777777" w:rsidR="00D1117D" w:rsidRPr="004F279A" w:rsidRDefault="00D1117D" w:rsidP="00D1117D">
      <w:pPr>
        <w:jc w:val="both"/>
        <w:rPr>
          <w:rFonts w:ascii="Times New Roman" w:eastAsia="Times New Roman" w:hAnsi="Times New Roman" w:cs="Times New Roman"/>
          <w:lang w:val="ru-RU" w:eastAsia="uk-UA"/>
        </w:rPr>
      </w:pPr>
      <w:r w:rsidRPr="004F279A">
        <w:t xml:space="preserve">4. </w:t>
      </w:r>
      <w:r w:rsidRPr="004F279A">
        <w:rPr>
          <w:rFonts w:ascii="Times New Roman" w:eastAsia="Times New Roman" w:hAnsi="Times New Roman" w:cs="Times New Roman"/>
          <w:color w:val="000000"/>
          <w:lang w:val="ru-RU" w:eastAsia="uk-UA"/>
        </w:rPr>
        <w:t>Яворська І.М.</w:t>
      </w:r>
      <w:r w:rsidRPr="004F279A">
        <w:rPr>
          <w:rFonts w:ascii="Times New Roman" w:eastAsia="Times New Roman" w:hAnsi="Times New Roman" w:cs="Times New Roman"/>
          <w:lang w:val="ru-RU" w:eastAsia="uk-UA"/>
        </w:rPr>
        <w:t xml:space="preserve"> Практика Суду Європейського Союзу щодо принципів захисту персональних даних в Європейському Союзі// Вісник Львівського національного університету. Серія «Міжнародні відносини». – Львів, 2019</w:t>
      </w:r>
    </w:p>
    <w:p w14:paraId="2F4D716D" w14:textId="77777777" w:rsidR="00D1117D" w:rsidRPr="004F279A" w:rsidRDefault="00D1117D" w:rsidP="00D1117D">
      <w:pPr>
        <w:jc w:val="both"/>
        <w:rPr>
          <w:rFonts w:ascii="Times New Roman" w:eastAsia="Times New Roman" w:hAnsi="Times New Roman" w:cs="Times New Roman"/>
          <w:lang w:eastAsia="uk-UA"/>
        </w:rPr>
      </w:pPr>
      <w:r w:rsidRPr="004F279A">
        <w:rPr>
          <w:rFonts w:ascii="Times New Roman" w:eastAsia="Times New Roman" w:hAnsi="Times New Roman" w:cs="Times New Roman"/>
          <w:lang w:val="ru-RU" w:eastAsia="uk-UA"/>
        </w:rPr>
        <w:t xml:space="preserve">5. </w:t>
      </w:r>
      <w:r w:rsidRPr="004F279A">
        <w:rPr>
          <w:rFonts w:ascii="Times New Roman" w:eastAsia="Times New Roman" w:hAnsi="Times New Roman" w:cs="Times New Roman"/>
          <w:lang w:eastAsia="uk-UA"/>
        </w:rPr>
        <w:t xml:space="preserve">Анакіна Т. Прецедентні рішення Суду Європейських Співтовариств у становленні правопорядку ЄС / Т. Анaкіна // Підприємництво, господарство і право. – 2008. </w:t>
      </w:r>
      <w:r w:rsidRPr="004F279A">
        <w:rPr>
          <w:rFonts w:ascii="Times New Roman" w:eastAsia="Times New Roman" w:hAnsi="Times New Roman" w:cs="Times New Roman"/>
          <w:lang w:val="ru-RU" w:eastAsia="uk-UA"/>
        </w:rPr>
        <w:t xml:space="preserve">– </w:t>
      </w:r>
      <w:r w:rsidRPr="004F279A">
        <w:rPr>
          <w:rFonts w:ascii="Times New Roman" w:eastAsia="Times New Roman" w:hAnsi="Times New Roman" w:cs="Times New Roman"/>
          <w:lang w:eastAsia="uk-UA"/>
        </w:rPr>
        <w:t>№</w:t>
      </w:r>
      <w:r w:rsidRPr="004F279A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4F279A">
        <w:rPr>
          <w:rFonts w:ascii="Times New Roman" w:eastAsia="Times New Roman" w:hAnsi="Times New Roman" w:cs="Times New Roman"/>
          <w:lang w:eastAsia="uk-UA"/>
        </w:rPr>
        <w:t>2.</w:t>
      </w:r>
      <w:r w:rsidRPr="004F279A">
        <w:rPr>
          <w:rFonts w:ascii="Times New Roman" w:eastAsia="Times New Roman" w:hAnsi="Times New Roman" w:cs="Times New Roman"/>
          <w:lang w:val="ru-RU" w:eastAsia="uk-UA"/>
        </w:rPr>
        <w:t xml:space="preserve"> –</w:t>
      </w:r>
      <w:r w:rsidRPr="004F279A">
        <w:rPr>
          <w:rFonts w:ascii="Times New Roman" w:eastAsia="Times New Roman" w:hAnsi="Times New Roman" w:cs="Times New Roman"/>
          <w:lang w:eastAsia="uk-UA"/>
        </w:rPr>
        <w:t xml:space="preserve"> С. 49-52.</w:t>
      </w:r>
    </w:p>
    <w:p w14:paraId="49052968" w14:textId="77777777" w:rsidR="00D1117D" w:rsidRPr="004F279A" w:rsidRDefault="00D1117D" w:rsidP="00D1117D">
      <w:pPr>
        <w:jc w:val="both"/>
        <w:rPr>
          <w:rFonts w:ascii="Times New Roman" w:eastAsia="Times New Roman" w:hAnsi="Times New Roman" w:cs="Times New Roman"/>
          <w:lang w:eastAsia="uk-UA"/>
        </w:rPr>
      </w:pPr>
      <w:r w:rsidRPr="004F279A">
        <w:rPr>
          <w:rFonts w:ascii="Times New Roman" w:eastAsia="Times New Roman" w:hAnsi="Times New Roman" w:cs="Times New Roman"/>
          <w:lang w:eastAsia="uk-UA"/>
        </w:rPr>
        <w:t xml:space="preserve">6. </w:t>
      </w:r>
      <w:r w:rsidRPr="0074756A">
        <w:rPr>
          <w:rFonts w:ascii="Times New Roman" w:eastAsia="Times New Roman" w:hAnsi="Times New Roman" w:cs="Times New Roman"/>
          <w:lang w:eastAsia="uk-UA"/>
        </w:rPr>
        <w:t>Анакіна Т.Я. Судовий прецедент у праві Європейського Союзу : дис. …канд. юрид. наук : 12.00.01 / Анакіна Тетяна Миколаївна. – Х., 2008. – 231с.</w:t>
      </w:r>
    </w:p>
    <w:p w14:paraId="66124735" w14:textId="77777777" w:rsidR="00D1117D" w:rsidRPr="004F279A" w:rsidRDefault="00D1117D" w:rsidP="00D1117D">
      <w:pPr>
        <w:jc w:val="both"/>
        <w:rPr>
          <w:rFonts w:ascii="Times New Roman" w:eastAsia="Times New Roman" w:hAnsi="Times New Roman" w:cs="Times New Roman"/>
          <w:lang w:eastAsia="uk-UA"/>
        </w:rPr>
      </w:pPr>
      <w:r w:rsidRPr="004F279A">
        <w:rPr>
          <w:rFonts w:ascii="Times New Roman" w:eastAsia="Times New Roman" w:hAnsi="Times New Roman" w:cs="Times New Roman"/>
          <w:lang w:eastAsia="uk-UA"/>
        </w:rPr>
        <w:t xml:space="preserve">7. </w:t>
      </w:r>
      <w:r w:rsidRPr="0074756A">
        <w:rPr>
          <w:rFonts w:ascii="Times New Roman" w:eastAsia="Times New Roman" w:hAnsi="Times New Roman" w:cs="Times New Roman"/>
          <w:lang w:eastAsia="uk-UA"/>
        </w:rPr>
        <w:t>Андрійчук О. Конституційні цінності єдиної Європи / Олесь Андрійчук // Юридичний журнал. – №5 (47). – С. 60-61.</w:t>
      </w:r>
    </w:p>
    <w:p w14:paraId="6642A095" w14:textId="77777777" w:rsidR="00D1117D" w:rsidRPr="004F279A" w:rsidRDefault="00D1117D" w:rsidP="00D1117D">
      <w:pPr>
        <w:jc w:val="both"/>
        <w:rPr>
          <w:rFonts w:ascii="Times New Roman" w:eastAsia="Times New Roman" w:hAnsi="Times New Roman" w:cs="Times New Roman"/>
          <w:lang w:eastAsia="uk-UA"/>
        </w:rPr>
      </w:pPr>
      <w:r w:rsidRPr="004F279A">
        <w:rPr>
          <w:rFonts w:ascii="Times New Roman" w:eastAsia="Times New Roman" w:hAnsi="Times New Roman" w:cs="Times New Roman"/>
          <w:lang w:eastAsia="uk-UA"/>
        </w:rPr>
        <w:t>8. А</w:t>
      </w:r>
      <w:r w:rsidRPr="0074756A">
        <w:rPr>
          <w:rFonts w:ascii="Times New Roman" w:eastAsia="Times New Roman" w:hAnsi="Times New Roman" w:cs="Times New Roman"/>
          <w:lang w:eastAsia="uk-UA"/>
        </w:rPr>
        <w:t>ндрійчук О. Правова інтерпретація Суду ЄС та Комісії ЄС як квазі-правотворчість / О. Андрійчук // Юридичний журнал. – 2006. – № 9 (51). – С. 26-31.</w:t>
      </w:r>
    </w:p>
    <w:p w14:paraId="25175649" w14:textId="77777777" w:rsidR="00D1117D" w:rsidRPr="004F279A" w:rsidRDefault="00D1117D" w:rsidP="00D1117D">
      <w:pPr>
        <w:jc w:val="both"/>
        <w:rPr>
          <w:rFonts w:ascii="Times New Roman" w:eastAsia="Times New Roman" w:hAnsi="Times New Roman" w:cs="Times New Roman"/>
          <w:color w:val="0000FF"/>
          <w:lang w:eastAsia="uk-UA"/>
        </w:rPr>
      </w:pPr>
      <w:r w:rsidRPr="004F279A">
        <w:rPr>
          <w:rFonts w:ascii="Times New Roman" w:eastAsia="Times New Roman" w:hAnsi="Times New Roman" w:cs="Times New Roman"/>
          <w:lang w:eastAsia="uk-UA"/>
        </w:rPr>
        <w:t xml:space="preserve">9. </w:t>
      </w:r>
      <w:r w:rsidRPr="0074756A">
        <w:rPr>
          <w:rFonts w:ascii="Times New Roman" w:eastAsia="Times New Roman" w:hAnsi="Times New Roman" w:cs="Times New Roman"/>
          <w:lang w:eastAsia="uk-UA"/>
        </w:rPr>
        <w:t>Андрійчук О. Процедура преюдиційного запиту за ст. 234 Договору про ЄС як квінтесенція права Європейської Унії / Олесь Андрійчук // Юридичний журнал. – 2005. – № 8 (38). – С. 21-26.</w:t>
      </w:r>
    </w:p>
    <w:p w14:paraId="0B56066A" w14:textId="77777777" w:rsidR="00D1117D" w:rsidRPr="004F279A" w:rsidRDefault="00D1117D" w:rsidP="00D1117D">
      <w:pPr>
        <w:jc w:val="both"/>
        <w:rPr>
          <w:rFonts w:ascii="Times New Roman" w:eastAsia="Times New Roman" w:hAnsi="Times New Roman" w:cs="Times New Roman"/>
          <w:lang w:eastAsia="uk-UA"/>
        </w:rPr>
      </w:pPr>
      <w:r w:rsidRPr="004F279A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10. </w:t>
      </w:r>
      <w:r w:rsidRPr="0074756A">
        <w:rPr>
          <w:rFonts w:ascii="Times New Roman" w:eastAsia="Times New Roman" w:hAnsi="Times New Roman" w:cs="Times New Roman"/>
          <w:lang w:eastAsia="uk-UA"/>
        </w:rPr>
        <w:t xml:space="preserve">Андрійчук О. Роль комунітарних принципів у процесі застосування права ЄС / Олесь Андрійчук // Юридичний журнал «Юстиніан». – № 3. – 2007// Режим доступу до ресурсу : http : // </w:t>
      </w:r>
      <w:hyperlink r:id="rId7" w:history="1">
        <w:r w:rsidRPr="0074756A">
          <w:rPr>
            <w:rFonts w:ascii="Times New Roman" w:eastAsia="Times New Roman" w:hAnsi="Times New Roman" w:cs="Times New Roman"/>
            <w:lang w:eastAsia="uk-UA"/>
          </w:rPr>
          <w:t>www.</w:t>
        </w:r>
      </w:hyperlink>
      <w:r w:rsidRPr="0074756A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74756A">
        <w:rPr>
          <w:rFonts w:ascii="Times New Roman" w:eastAsia="Times New Roman" w:hAnsi="Times New Roman" w:cs="Times New Roman"/>
          <w:lang w:val="en-US" w:eastAsia="uk-UA"/>
        </w:rPr>
        <w:t>justinian</w:t>
      </w:r>
      <w:r w:rsidRPr="0074756A">
        <w:rPr>
          <w:rFonts w:ascii="Times New Roman" w:eastAsia="Times New Roman" w:hAnsi="Times New Roman" w:cs="Times New Roman"/>
          <w:lang w:eastAsia="uk-UA"/>
        </w:rPr>
        <w:t>.</w:t>
      </w:r>
      <w:r w:rsidRPr="0074756A">
        <w:rPr>
          <w:rFonts w:ascii="Times New Roman" w:eastAsia="Times New Roman" w:hAnsi="Times New Roman" w:cs="Times New Roman"/>
          <w:lang w:val="en-US" w:eastAsia="uk-UA"/>
        </w:rPr>
        <w:t>com</w:t>
      </w:r>
      <w:r w:rsidRPr="0074756A">
        <w:rPr>
          <w:rFonts w:ascii="Times New Roman" w:eastAsia="Times New Roman" w:hAnsi="Times New Roman" w:cs="Times New Roman"/>
          <w:lang w:eastAsia="uk-UA"/>
        </w:rPr>
        <w:t>.</w:t>
      </w:r>
      <w:r w:rsidRPr="0074756A">
        <w:rPr>
          <w:rFonts w:ascii="Times New Roman" w:eastAsia="Times New Roman" w:hAnsi="Times New Roman" w:cs="Times New Roman"/>
          <w:lang w:val="en-US" w:eastAsia="uk-UA"/>
        </w:rPr>
        <w:t>ua</w:t>
      </w:r>
    </w:p>
    <w:p w14:paraId="7E40C674" w14:textId="77777777" w:rsidR="00D1117D" w:rsidRPr="004F279A" w:rsidRDefault="00D1117D" w:rsidP="00D1117D">
      <w:pPr>
        <w:pStyle w:val="a5"/>
        <w:spacing w:line="360" w:lineRule="auto"/>
        <w:jc w:val="both"/>
        <w:rPr>
          <w:sz w:val="22"/>
          <w:szCs w:val="22"/>
        </w:rPr>
      </w:pPr>
      <w:r w:rsidRPr="004F279A">
        <w:rPr>
          <w:sz w:val="22"/>
          <w:szCs w:val="22"/>
        </w:rPr>
        <w:t>11. Arnull A. The European Union and its Court of Justice / Anthony Arnull. – Oxford : Oxford University Press, 2003. – 593 р.</w:t>
      </w:r>
    </w:p>
    <w:p w14:paraId="160A47F4" w14:textId="77777777" w:rsidR="00D1117D" w:rsidRPr="004F279A" w:rsidRDefault="00D1117D" w:rsidP="00D111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F279A">
        <w:rPr>
          <w:rFonts w:ascii="Times New Roman" w:eastAsia="Times New Roman" w:hAnsi="Times New Roman" w:cs="Times New Roman"/>
          <w:lang w:eastAsia="uk-UA"/>
        </w:rPr>
        <w:t>12. Arnull A. The European Union and its Court of Justice / Anthony Arnull. – Oxford : Oxford University Press, 2006.– 699 р.</w:t>
      </w:r>
    </w:p>
    <w:p w14:paraId="23772034" w14:textId="77777777" w:rsidR="00D1117D" w:rsidRPr="004F279A" w:rsidRDefault="00D1117D" w:rsidP="00D111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279A">
        <w:rPr>
          <w:rFonts w:ascii="Times New Roman" w:eastAsia="Times New Roman" w:hAnsi="Times New Roman" w:cs="Times New Roman"/>
          <w:sz w:val="24"/>
          <w:szCs w:val="24"/>
          <w:lang w:eastAsia="uk-UA"/>
        </w:rPr>
        <w:t>13. Atston Philip with assistance of Mara Bustelo and James Heen. The EU and Human Rights. – 946 p.</w:t>
      </w:r>
    </w:p>
    <w:p w14:paraId="2C1B2616" w14:textId="77777777" w:rsidR="00D1117D" w:rsidRPr="004F279A" w:rsidRDefault="00D1117D" w:rsidP="00D1117D">
      <w:pPr>
        <w:pStyle w:val="a5"/>
        <w:spacing w:line="360" w:lineRule="auto"/>
        <w:jc w:val="both"/>
        <w:rPr>
          <w:color w:val="000000"/>
          <w:sz w:val="24"/>
          <w:szCs w:val="24"/>
        </w:rPr>
      </w:pPr>
      <w:r w:rsidRPr="004F279A">
        <w:rPr>
          <w:sz w:val="24"/>
          <w:szCs w:val="24"/>
        </w:rPr>
        <w:lastRenderedPageBreak/>
        <w:t xml:space="preserve">14. </w:t>
      </w:r>
      <w:commentRangeStart w:id="1"/>
      <w:r w:rsidRPr="004F279A">
        <w:rPr>
          <w:color w:val="000000"/>
          <w:sz w:val="24"/>
          <w:szCs w:val="24"/>
        </w:rPr>
        <w:t>Brown N. The Court of Justise of the European Communities</w:t>
      </w:r>
      <w:r w:rsidRPr="004F279A">
        <w:rPr>
          <w:color w:val="000000"/>
          <w:sz w:val="24"/>
          <w:szCs w:val="24"/>
          <w:lang w:val="en-US"/>
        </w:rPr>
        <w:t xml:space="preserve"> / </w:t>
      </w:r>
      <w:r w:rsidRPr="004F279A">
        <w:rPr>
          <w:color w:val="000000"/>
          <w:sz w:val="24"/>
          <w:szCs w:val="24"/>
        </w:rPr>
        <w:t xml:space="preserve">Brown N., Kennedy Т. – 4 th ed.– London : Sweet &amp; Maxwell, 2000. – 512 р. </w:t>
      </w:r>
    </w:p>
    <w:p w14:paraId="2890E080" w14:textId="77777777" w:rsidR="00D1117D" w:rsidRPr="004F279A" w:rsidRDefault="00D1117D" w:rsidP="00D111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F27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Craig P. EU Law : Text, Cases and Materials / Paul Craig and Grainne de Burca.</w:t>
      </w:r>
      <w:r w:rsidRPr="004F2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– </w:t>
      </w:r>
      <w:r w:rsidRPr="004F27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 nd ed.</w:t>
      </w:r>
      <w:r w:rsidRPr="004F2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– </w:t>
      </w:r>
      <w:r w:rsidRPr="004F27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Oxford University Press, 1995</w:t>
      </w:r>
      <w:r w:rsidRPr="004F2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. – 1</w:t>
      </w:r>
      <w:r w:rsidRPr="004F27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162 p.</w:t>
      </w:r>
      <w:commentRangeEnd w:id="1"/>
      <w:r w:rsidRPr="004F279A">
        <w:rPr>
          <w:rFonts w:ascii="Times New Roman" w:eastAsia="Times New Roman" w:hAnsi="Times New Roman" w:cs="Times New Roman"/>
          <w:sz w:val="24"/>
          <w:szCs w:val="24"/>
          <w:lang w:eastAsia="uk-UA"/>
        </w:rPr>
        <w:commentReference w:id="1"/>
      </w:r>
    </w:p>
    <w:p w14:paraId="5901656A" w14:textId="77777777" w:rsidR="00D1117D" w:rsidRPr="004F279A" w:rsidRDefault="00D1117D" w:rsidP="00D111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59C8853" w14:textId="77777777" w:rsidR="00D1117D" w:rsidRDefault="00D1117D" w:rsidP="00D11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Також: </w:t>
      </w:r>
      <w:r w:rsidRPr="00710DEE">
        <w:rPr>
          <w:rFonts w:ascii="Times New Roman" w:hAnsi="Times New Roman" w:cs="Times New Roman"/>
        </w:rPr>
        <w:t>оберіть та підготуйте доповіді з питань практики Суду ЄС щодо розгляду окремих категорій справ: до прикладу «Практика Суду ЄС у сфері вільного руху товарів», «Практика Суду ЄС щодо формування принципів права ЄС», «Практика Суду ЄС у сфері захисту прав споживач</w:t>
      </w:r>
      <w:r>
        <w:rPr>
          <w:rFonts w:ascii="Times New Roman" w:hAnsi="Times New Roman" w:cs="Times New Roman"/>
        </w:rPr>
        <w:t>і</w:t>
      </w:r>
      <w:r w:rsidRPr="00710DEE">
        <w:rPr>
          <w:rFonts w:ascii="Times New Roman" w:hAnsi="Times New Roman" w:cs="Times New Roman"/>
        </w:rPr>
        <w:t>в», «Практика Суду ЄС щодо захисту персональних даних», «Практика Суду ЄС у сфері корпоративного права», та ін. (на вибір).  Доповіді слухаються після 20 квітня</w:t>
      </w:r>
      <w:r>
        <w:rPr>
          <w:rFonts w:ascii="Times New Roman" w:hAnsi="Times New Roman" w:cs="Times New Roman"/>
        </w:rPr>
        <w:t xml:space="preserve">. Обсяг: до 20 стор. </w:t>
      </w:r>
    </w:p>
    <w:p w14:paraId="01269273" w14:textId="77777777" w:rsidR="00D1117D" w:rsidRPr="009746D8" w:rsidRDefault="00D1117D" w:rsidP="00D1117D">
      <w:pPr>
        <w:rPr>
          <w:rFonts w:ascii="Times New Roman" w:hAnsi="Times New Roman" w:cs="Times New Roman"/>
          <w:b/>
          <w:bCs/>
        </w:rPr>
      </w:pPr>
      <w:r w:rsidRPr="009746D8">
        <w:rPr>
          <w:rFonts w:ascii="Times New Roman" w:hAnsi="Times New Roman" w:cs="Times New Roman"/>
          <w:b/>
          <w:bCs/>
        </w:rPr>
        <w:t>Форма контролю:</w:t>
      </w:r>
    </w:p>
    <w:p w14:paraId="3FCD0564" w14:textId="77777777" w:rsidR="00D1117D" w:rsidRPr="00D214EE" w:rsidRDefault="00D1117D" w:rsidP="00D1117D">
      <w:pPr>
        <w:rPr>
          <w:rFonts w:ascii="Times New Roman" w:hAnsi="Times New Roman" w:cs="Times New Roman"/>
        </w:rPr>
      </w:pPr>
      <w:r w:rsidRPr="00D214EE">
        <w:rPr>
          <w:rFonts w:ascii="Times New Roman" w:hAnsi="Times New Roman" w:cs="Times New Roman"/>
        </w:rPr>
        <w:t>Питання теми будуть виноситись на модуль. Термін звітності: в кінці курсу</w:t>
      </w:r>
    </w:p>
    <w:p w14:paraId="3754AF56" w14:textId="77777777" w:rsidR="00D1117D" w:rsidRPr="00E24F91" w:rsidRDefault="00D1117D" w:rsidP="00D1117D">
      <w:pPr>
        <w:spacing w:line="240" w:lineRule="auto"/>
        <w:rPr>
          <w:rFonts w:ascii="Times New Roman" w:hAnsi="Times New Roman" w:cs="Times New Roman"/>
        </w:rPr>
      </w:pPr>
    </w:p>
    <w:p w14:paraId="46D74BA9" w14:textId="77777777" w:rsidR="00574FFF" w:rsidRDefault="00574FFF"/>
    <w:sectPr w:rsidR="00574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3-16T19:25:00Z" w:initials="U">
    <w:p w14:paraId="356FF419" w14:textId="77777777" w:rsidR="00D1117D" w:rsidRDefault="00D1117D" w:rsidP="00D1117D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6FF4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529"/>
    <w:multiLevelType w:val="hybridMultilevel"/>
    <w:tmpl w:val="17C09FBA"/>
    <w:lvl w:ilvl="0" w:tplc="0DD02F4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36"/>
    <w:rsid w:val="00574FFF"/>
    <w:rsid w:val="006B6B36"/>
    <w:rsid w:val="00D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FD22"/>
  <w15:chartTrackingRefBased/>
  <w15:docId w15:val="{E80312E6-E7FB-45A3-A6DD-C6EA2D1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1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17D"/>
    <w:pPr>
      <w:ind w:left="720"/>
      <w:contextualSpacing/>
    </w:pPr>
  </w:style>
  <w:style w:type="paragraph" w:styleId="a5">
    <w:name w:val="footnote text"/>
    <w:basedOn w:val="a"/>
    <w:link w:val="a6"/>
    <w:semiHidden/>
    <w:rsid w:val="00D1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semiHidden/>
    <w:rsid w:val="00D1117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7">
    <w:name w:val="annotation reference"/>
    <w:basedOn w:val="a0"/>
    <w:uiPriority w:val="99"/>
    <w:semiHidden/>
    <w:unhideWhenUsed/>
    <w:rsid w:val="00D111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117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D1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www.curia.europa.eu/en/instit/txtdocfr/autrestxts/txt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4_618" TargetMode="External"/><Relationship Id="rId11" Type="http://schemas.microsoft.com/office/2011/relationships/people" Target="people.xml"/><Relationship Id="rId5" Type="http://schemas.openxmlformats.org/officeDocument/2006/relationships/hyperlink" Target="https://zakon.rada.gov.ua/laws/show/994_b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2200</Words>
  <Characters>1255</Characters>
  <Application>Microsoft Office Word</Application>
  <DocSecurity>0</DocSecurity>
  <Lines>10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2020-03-19T11:15:00Z</dcterms:created>
  <dcterms:modified xsi:type="dcterms:W3CDTF">2020-03-19T11:16:00Z</dcterms:modified>
</cp:coreProperties>
</file>