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0121" w:type="dxa"/>
        <w:tblLayout w:type="fixed"/>
        <w:tblCellMar>
          <w:left w:w="56" w:type="dxa"/>
          <w:right w:w="56" w:type="dxa"/>
        </w:tblCellMar>
        <w:tblLook w:val="00A0"/>
      </w:tblPr>
      <w:tblGrid>
        <w:gridCol w:w="1410"/>
        <w:gridCol w:w="231"/>
        <w:gridCol w:w="542"/>
        <w:gridCol w:w="638"/>
        <w:gridCol w:w="487"/>
        <w:gridCol w:w="575"/>
        <w:gridCol w:w="356"/>
        <w:gridCol w:w="680"/>
        <w:gridCol w:w="738"/>
        <w:gridCol w:w="1202"/>
        <w:gridCol w:w="41"/>
        <w:gridCol w:w="1369"/>
        <w:gridCol w:w="1427"/>
        <w:gridCol w:w="425"/>
      </w:tblGrid>
      <w:tr w:rsidR="003D6A3D" w:rsidTr="00894951">
        <w:trPr>
          <w:gridAfter w:val="1"/>
          <w:wAfter w:w="425" w:type="dxa"/>
        </w:trPr>
        <w:tc>
          <w:tcPr>
            <w:tcW w:w="9696" w:type="dxa"/>
            <w:gridSpan w:val="13"/>
            <w:tcBorders>
              <w:top w:val="single" w:sz="4" w:space="0" w:color="auto"/>
              <w:left w:val="single" w:sz="4" w:space="0" w:color="auto"/>
              <w:bottom w:val="single" w:sz="4" w:space="0" w:color="auto"/>
              <w:right w:val="single" w:sz="4" w:space="0" w:color="auto"/>
            </w:tcBorders>
            <w:shd w:val="clear" w:color="auto" w:fill="E6E6E6"/>
            <w:hideMark/>
          </w:tcPr>
          <w:p w:rsidR="003D6A3D" w:rsidRPr="003D6A3D" w:rsidRDefault="003D6A3D" w:rsidP="003D6A3D">
            <w:pPr>
              <w:jc w:val="center"/>
              <w:rPr>
                <w:rFonts w:cs="Calibri"/>
                <w:b/>
                <w:lang w:val="uk-UA"/>
              </w:rPr>
            </w:pPr>
            <w:r>
              <w:rPr>
                <w:rFonts w:cs="Calibri"/>
                <w:b/>
                <w:szCs w:val="22"/>
                <w:lang w:val="uk-UA"/>
              </w:rPr>
              <w:t>ПРОГРАМА КУРСУ</w:t>
            </w:r>
          </w:p>
        </w:tc>
      </w:tr>
      <w:tr w:rsidR="003D6A3D" w:rsidRPr="008414D8" w:rsidTr="00894951">
        <w:trPr>
          <w:gridAfter w:val="1"/>
          <w:wAfter w:w="425" w:type="dxa"/>
        </w:trPr>
        <w:tc>
          <w:tcPr>
            <w:tcW w:w="2183" w:type="dxa"/>
            <w:gridSpan w:val="3"/>
            <w:tcBorders>
              <w:top w:val="single" w:sz="4" w:space="0" w:color="auto"/>
              <w:left w:val="single" w:sz="4" w:space="0" w:color="auto"/>
              <w:bottom w:val="single" w:sz="4" w:space="0" w:color="auto"/>
              <w:right w:val="nil"/>
            </w:tcBorders>
            <w:hideMark/>
          </w:tcPr>
          <w:p w:rsidR="003D6A3D" w:rsidRDefault="003D6A3D" w:rsidP="003D6A3D">
            <w:pPr>
              <w:rPr>
                <w:rFonts w:cs="Calibri"/>
                <w:b/>
              </w:rPr>
            </w:pPr>
            <w:r>
              <w:rPr>
                <w:rFonts w:cs="Calibri"/>
                <w:b/>
                <w:szCs w:val="22"/>
                <w:lang w:val="uk-UA"/>
              </w:rPr>
              <w:t>Назва дисципліни</w:t>
            </w:r>
            <w:r>
              <w:rPr>
                <w:rFonts w:cs="Calibri"/>
                <w:b/>
                <w:szCs w:val="22"/>
              </w:rPr>
              <w:t>:</w:t>
            </w:r>
          </w:p>
        </w:tc>
        <w:tc>
          <w:tcPr>
            <w:tcW w:w="7513" w:type="dxa"/>
            <w:gridSpan w:val="10"/>
            <w:tcBorders>
              <w:top w:val="single" w:sz="4" w:space="0" w:color="auto"/>
              <w:left w:val="single" w:sz="4" w:space="0" w:color="auto"/>
              <w:bottom w:val="single" w:sz="4" w:space="0" w:color="auto"/>
              <w:right w:val="single" w:sz="4" w:space="0" w:color="auto"/>
            </w:tcBorders>
            <w:hideMark/>
          </w:tcPr>
          <w:p w:rsidR="003D6A3D" w:rsidRPr="003D6A3D" w:rsidRDefault="003D6A3D" w:rsidP="003D6A3D">
            <w:pPr>
              <w:pStyle w:val="a5"/>
              <w:jc w:val="center"/>
              <w:rPr>
                <w:b/>
                <w:lang w:val="ru-RU"/>
              </w:rPr>
            </w:pPr>
            <w:bookmarkStart w:id="0" w:name="APredmet"/>
            <w:bookmarkEnd w:id="0"/>
            <w:r w:rsidRPr="00BA6A44">
              <w:rPr>
                <w:b/>
              </w:rPr>
              <w:t>ВСТУП ДО ПРАВА ЄВРОПЕЙСЬКОГО СОЮЗУ</w:t>
            </w:r>
          </w:p>
        </w:tc>
      </w:tr>
      <w:tr w:rsidR="003D6A3D" w:rsidTr="00894951">
        <w:trPr>
          <w:gridAfter w:val="1"/>
          <w:wAfter w:w="425" w:type="dxa"/>
        </w:trPr>
        <w:tc>
          <w:tcPr>
            <w:tcW w:w="3308" w:type="dxa"/>
            <w:gridSpan w:val="5"/>
            <w:tcBorders>
              <w:top w:val="single" w:sz="4" w:space="0" w:color="auto"/>
              <w:left w:val="single" w:sz="4" w:space="0" w:color="auto"/>
              <w:bottom w:val="single" w:sz="4" w:space="0" w:color="auto"/>
              <w:right w:val="single" w:sz="4" w:space="0" w:color="auto"/>
            </w:tcBorders>
            <w:vAlign w:val="center"/>
            <w:hideMark/>
          </w:tcPr>
          <w:p w:rsidR="003D6A3D" w:rsidRPr="003D6A3D" w:rsidRDefault="003D6A3D" w:rsidP="003D6A3D">
            <w:pPr>
              <w:jc w:val="center"/>
              <w:rPr>
                <w:rFonts w:cs="Calibri"/>
                <w:lang w:val="uk-UA"/>
              </w:rPr>
            </w:pPr>
            <w:r>
              <w:rPr>
                <w:rFonts w:cs="Calibri"/>
                <w:b/>
                <w:szCs w:val="22"/>
                <w:lang w:val="uk-UA"/>
              </w:rPr>
              <w:t>Навчальна програма</w:t>
            </w:r>
          </w:p>
        </w:tc>
        <w:tc>
          <w:tcPr>
            <w:tcW w:w="3592" w:type="dxa"/>
            <w:gridSpan w:val="6"/>
            <w:tcBorders>
              <w:top w:val="single" w:sz="4" w:space="0" w:color="auto"/>
              <w:left w:val="single" w:sz="4" w:space="0" w:color="auto"/>
              <w:bottom w:val="single" w:sz="4" w:space="0" w:color="auto"/>
              <w:right w:val="single" w:sz="4" w:space="0" w:color="auto"/>
            </w:tcBorders>
            <w:vAlign w:val="center"/>
            <w:hideMark/>
          </w:tcPr>
          <w:p w:rsidR="003D6A3D" w:rsidRPr="00D016EB" w:rsidRDefault="00D016EB" w:rsidP="003D6A3D">
            <w:pPr>
              <w:jc w:val="center"/>
              <w:rPr>
                <w:rFonts w:cs="Calibri"/>
                <w:b/>
                <w:lang w:val="uk-UA"/>
              </w:rPr>
            </w:pPr>
            <w:r>
              <w:rPr>
                <w:rFonts w:cs="Calibri"/>
                <w:b/>
                <w:szCs w:val="22"/>
                <w:lang w:val="uk-UA"/>
              </w:rPr>
              <w:t>Спеціалізація</w:t>
            </w:r>
          </w:p>
        </w:tc>
        <w:tc>
          <w:tcPr>
            <w:tcW w:w="1369" w:type="dxa"/>
            <w:tcBorders>
              <w:top w:val="single" w:sz="4" w:space="0" w:color="auto"/>
              <w:left w:val="single" w:sz="4" w:space="0" w:color="auto"/>
              <w:bottom w:val="single" w:sz="4" w:space="0" w:color="auto"/>
              <w:right w:val="single" w:sz="4" w:space="0" w:color="auto"/>
            </w:tcBorders>
            <w:vAlign w:val="center"/>
            <w:hideMark/>
          </w:tcPr>
          <w:p w:rsidR="003D6A3D" w:rsidRPr="00D016EB" w:rsidRDefault="00D016EB" w:rsidP="003D6A3D">
            <w:pPr>
              <w:jc w:val="center"/>
              <w:rPr>
                <w:rFonts w:cs="Calibri"/>
                <w:b/>
                <w:lang w:val="uk-UA"/>
              </w:rPr>
            </w:pPr>
            <w:r>
              <w:rPr>
                <w:rFonts w:cs="Calibri"/>
                <w:b/>
                <w:szCs w:val="22"/>
                <w:lang w:val="uk-UA"/>
              </w:rPr>
              <w:t>Академіч-ний рік</w:t>
            </w:r>
          </w:p>
        </w:tc>
        <w:tc>
          <w:tcPr>
            <w:tcW w:w="1427" w:type="dxa"/>
            <w:tcBorders>
              <w:top w:val="single" w:sz="4" w:space="0" w:color="auto"/>
              <w:left w:val="single" w:sz="4" w:space="0" w:color="auto"/>
              <w:bottom w:val="single" w:sz="4" w:space="0" w:color="auto"/>
              <w:right w:val="single" w:sz="4" w:space="0" w:color="auto"/>
            </w:tcBorders>
            <w:vAlign w:val="center"/>
            <w:hideMark/>
          </w:tcPr>
          <w:p w:rsidR="003D6A3D" w:rsidRPr="00D016EB" w:rsidRDefault="00D016EB" w:rsidP="003D6A3D">
            <w:pPr>
              <w:jc w:val="center"/>
              <w:rPr>
                <w:rFonts w:cs="Calibri"/>
                <w:b/>
                <w:lang w:val="uk-UA"/>
              </w:rPr>
            </w:pPr>
            <w:r>
              <w:rPr>
                <w:rFonts w:cs="Calibri"/>
                <w:b/>
                <w:szCs w:val="22"/>
                <w:lang w:val="uk-UA"/>
              </w:rPr>
              <w:t>Семестр</w:t>
            </w:r>
          </w:p>
        </w:tc>
      </w:tr>
      <w:tr w:rsidR="003D6A3D" w:rsidTr="00894951">
        <w:trPr>
          <w:gridAfter w:val="1"/>
          <w:wAfter w:w="425" w:type="dxa"/>
          <w:trHeight w:val="318"/>
        </w:trPr>
        <w:tc>
          <w:tcPr>
            <w:tcW w:w="3308" w:type="dxa"/>
            <w:gridSpan w:val="5"/>
            <w:tcBorders>
              <w:top w:val="single" w:sz="4" w:space="0" w:color="auto"/>
              <w:left w:val="single" w:sz="4" w:space="0" w:color="auto"/>
              <w:bottom w:val="single" w:sz="4" w:space="0" w:color="auto"/>
              <w:right w:val="single" w:sz="4" w:space="0" w:color="auto"/>
            </w:tcBorders>
            <w:vAlign w:val="center"/>
            <w:hideMark/>
          </w:tcPr>
          <w:p w:rsidR="003D6A3D" w:rsidRPr="003D6A3D" w:rsidRDefault="003D6A3D" w:rsidP="003D6A3D">
            <w:pPr>
              <w:jc w:val="center"/>
              <w:rPr>
                <w:rFonts w:cs="Calibri"/>
                <w:b/>
                <w:bCs/>
                <w:lang w:val="en-US"/>
              </w:rPr>
            </w:pPr>
            <w:r>
              <w:rPr>
                <w:rFonts w:cs="Calibri"/>
                <w:b/>
                <w:bCs/>
                <w:szCs w:val="22"/>
                <w:lang w:val="uk-UA"/>
              </w:rPr>
              <w:t xml:space="preserve">В.А. </w:t>
            </w:r>
            <w:r>
              <w:rPr>
                <w:rFonts w:cs="Calibri"/>
                <w:b/>
                <w:bCs/>
                <w:szCs w:val="22"/>
                <w:lang w:val="en-US"/>
              </w:rPr>
              <w:t xml:space="preserve"> in International Economic Relations, International Business and International Information</w:t>
            </w:r>
          </w:p>
        </w:tc>
        <w:tc>
          <w:tcPr>
            <w:tcW w:w="3592" w:type="dxa"/>
            <w:gridSpan w:val="6"/>
            <w:tcBorders>
              <w:top w:val="single" w:sz="4" w:space="0" w:color="auto"/>
              <w:left w:val="single" w:sz="4" w:space="0" w:color="auto"/>
              <w:bottom w:val="single" w:sz="4" w:space="0" w:color="auto"/>
              <w:right w:val="single" w:sz="4" w:space="0" w:color="auto"/>
            </w:tcBorders>
            <w:vAlign w:val="center"/>
            <w:hideMark/>
          </w:tcPr>
          <w:p w:rsidR="003D6A3D" w:rsidRPr="0003358D" w:rsidRDefault="003D6A3D" w:rsidP="003D6A3D">
            <w:pPr>
              <w:jc w:val="center"/>
              <w:rPr>
                <w:rFonts w:cs="Calibri"/>
                <w:b/>
                <w:bCs/>
                <w:lang w:val="en-US"/>
              </w:rPr>
            </w:pPr>
          </w:p>
        </w:tc>
        <w:tc>
          <w:tcPr>
            <w:tcW w:w="1369" w:type="dxa"/>
            <w:tcBorders>
              <w:top w:val="single" w:sz="4" w:space="0" w:color="auto"/>
              <w:left w:val="single" w:sz="4" w:space="0" w:color="auto"/>
              <w:bottom w:val="single" w:sz="4" w:space="0" w:color="auto"/>
              <w:right w:val="single" w:sz="4" w:space="0" w:color="auto"/>
            </w:tcBorders>
            <w:vAlign w:val="center"/>
            <w:hideMark/>
          </w:tcPr>
          <w:p w:rsidR="003D6A3D" w:rsidRDefault="003D6A3D" w:rsidP="003D6A3D">
            <w:pPr>
              <w:jc w:val="center"/>
              <w:rPr>
                <w:rFonts w:cs="Calibri"/>
                <w:b/>
                <w:bCs/>
              </w:rPr>
            </w:pPr>
            <w:r>
              <w:rPr>
                <w:rFonts w:cs="Calibri"/>
                <w:b/>
                <w:bCs/>
                <w:szCs w:val="22"/>
              </w:rPr>
              <w:t>3</w:t>
            </w:r>
          </w:p>
        </w:tc>
        <w:tc>
          <w:tcPr>
            <w:tcW w:w="1427" w:type="dxa"/>
            <w:tcBorders>
              <w:top w:val="single" w:sz="4" w:space="0" w:color="auto"/>
              <w:left w:val="single" w:sz="4" w:space="0" w:color="auto"/>
              <w:bottom w:val="single" w:sz="4" w:space="0" w:color="auto"/>
              <w:right w:val="single" w:sz="4" w:space="0" w:color="auto"/>
            </w:tcBorders>
            <w:vAlign w:val="center"/>
            <w:hideMark/>
          </w:tcPr>
          <w:p w:rsidR="003D6A3D" w:rsidRDefault="003D6A3D" w:rsidP="003D6A3D">
            <w:pPr>
              <w:jc w:val="center"/>
              <w:rPr>
                <w:rFonts w:cs="Arial"/>
                <w:b/>
                <w:lang w:val="en-US"/>
              </w:rPr>
            </w:pPr>
            <w:r>
              <w:rPr>
                <w:rFonts w:cs="Arial"/>
                <w:b/>
                <w:lang w:val="en-US"/>
              </w:rPr>
              <w:t>V</w:t>
            </w:r>
          </w:p>
        </w:tc>
      </w:tr>
      <w:tr w:rsidR="003D6A3D" w:rsidTr="00894951">
        <w:trPr>
          <w:gridAfter w:val="1"/>
          <w:wAfter w:w="425" w:type="dxa"/>
          <w:trHeight w:val="103"/>
        </w:trPr>
        <w:tc>
          <w:tcPr>
            <w:tcW w:w="9696" w:type="dxa"/>
            <w:gridSpan w:val="13"/>
          </w:tcPr>
          <w:p w:rsidR="003D6A3D" w:rsidRDefault="003D6A3D" w:rsidP="003D6A3D">
            <w:pPr>
              <w:rPr>
                <w:rFonts w:cs="Calibri"/>
                <w:b/>
                <w:bCs/>
              </w:rPr>
            </w:pPr>
          </w:p>
        </w:tc>
      </w:tr>
      <w:tr w:rsidR="003D6A3D" w:rsidTr="00894951">
        <w:trPr>
          <w:gridAfter w:val="4"/>
          <w:wAfter w:w="3262" w:type="dxa"/>
        </w:trPr>
        <w:tc>
          <w:tcPr>
            <w:tcW w:w="1410" w:type="dxa"/>
            <w:tcBorders>
              <w:top w:val="single" w:sz="4" w:space="0" w:color="auto"/>
              <w:left w:val="single" w:sz="4" w:space="0" w:color="auto"/>
              <w:bottom w:val="single" w:sz="4" w:space="0" w:color="auto"/>
              <w:right w:val="single" w:sz="4" w:space="0" w:color="auto"/>
            </w:tcBorders>
            <w:vAlign w:val="center"/>
            <w:hideMark/>
          </w:tcPr>
          <w:p w:rsidR="003D6A3D" w:rsidRDefault="003D6A3D" w:rsidP="003D6A3D">
            <w:pPr>
              <w:jc w:val="center"/>
              <w:rPr>
                <w:rFonts w:cs="Calibri"/>
              </w:rPr>
            </w:pPr>
            <w:r>
              <w:rPr>
                <w:rFonts w:cs="Calibri"/>
                <w:b/>
                <w:szCs w:val="22"/>
                <w:lang w:val="uk-UA"/>
              </w:rPr>
              <w:t xml:space="preserve">Лекції </w:t>
            </w:r>
            <w:r>
              <w:rPr>
                <w:rFonts w:cs="Calibri"/>
                <w:b/>
                <w:szCs w:val="22"/>
              </w:rPr>
              <w:t>(</w:t>
            </w:r>
            <w:r>
              <w:rPr>
                <w:rFonts w:cs="Calibri"/>
                <w:b/>
                <w:szCs w:val="22"/>
                <w:lang w:val="uk-UA"/>
              </w:rPr>
              <w:t>години</w:t>
            </w:r>
            <w:r>
              <w:rPr>
                <w:rFonts w:cs="Calibri"/>
                <w:b/>
                <w:szCs w:val="22"/>
              </w:rPr>
              <w:t>)</w:t>
            </w:r>
          </w:p>
        </w:tc>
        <w:tc>
          <w:tcPr>
            <w:tcW w:w="1411" w:type="dxa"/>
            <w:gridSpan w:val="3"/>
            <w:tcBorders>
              <w:top w:val="single" w:sz="4" w:space="0" w:color="auto"/>
              <w:left w:val="single" w:sz="4" w:space="0" w:color="auto"/>
              <w:bottom w:val="single" w:sz="4" w:space="0" w:color="auto"/>
              <w:right w:val="single" w:sz="4" w:space="0" w:color="auto"/>
            </w:tcBorders>
            <w:vAlign w:val="center"/>
            <w:hideMark/>
          </w:tcPr>
          <w:p w:rsidR="003D6A3D" w:rsidRPr="003D6A3D" w:rsidRDefault="003D6A3D" w:rsidP="003D6A3D">
            <w:pPr>
              <w:jc w:val="center"/>
              <w:rPr>
                <w:rFonts w:cs="Calibri"/>
                <w:b/>
                <w:lang w:val="uk-UA"/>
              </w:rPr>
            </w:pPr>
            <w:r>
              <w:rPr>
                <w:rFonts w:cs="Calibri"/>
                <w:b/>
                <w:szCs w:val="22"/>
                <w:lang w:val="uk-UA"/>
              </w:rPr>
              <w:t>Семінари</w:t>
            </w:r>
          </w:p>
          <w:p w:rsidR="003D6A3D" w:rsidRDefault="003D6A3D" w:rsidP="003D6A3D">
            <w:pPr>
              <w:jc w:val="center"/>
              <w:rPr>
                <w:rFonts w:cs="Calibri"/>
                <w:b/>
              </w:rPr>
            </w:pPr>
            <w:r>
              <w:rPr>
                <w:rFonts w:cs="Calibri"/>
                <w:b/>
                <w:szCs w:val="22"/>
              </w:rPr>
              <w:t>(</w:t>
            </w:r>
            <w:r>
              <w:rPr>
                <w:rFonts w:cs="Calibri"/>
                <w:b/>
                <w:szCs w:val="22"/>
                <w:lang w:val="uk-UA"/>
              </w:rPr>
              <w:t>години</w:t>
            </w:r>
            <w:r>
              <w:rPr>
                <w:rFonts w:cs="Calibri"/>
                <w:b/>
                <w:szCs w:val="22"/>
              </w:rPr>
              <w:t>)</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3D6A3D" w:rsidRDefault="003D6A3D" w:rsidP="003D6A3D">
            <w:pPr>
              <w:jc w:val="center"/>
              <w:rPr>
                <w:rFonts w:cs="Calibri"/>
                <w:b/>
              </w:rPr>
            </w:pPr>
            <w:r>
              <w:rPr>
                <w:rFonts w:cs="Calibri"/>
                <w:b/>
                <w:szCs w:val="22"/>
              </w:rPr>
              <w:t>Tutorial</w:t>
            </w:r>
          </w:p>
          <w:p w:rsidR="003D6A3D" w:rsidRDefault="003D6A3D" w:rsidP="003D6A3D">
            <w:pPr>
              <w:jc w:val="center"/>
              <w:rPr>
                <w:rFonts w:cs="Calibri"/>
                <w:b/>
              </w:rPr>
            </w:pPr>
            <w:r>
              <w:rPr>
                <w:rFonts w:cs="Calibri"/>
                <w:b/>
                <w:szCs w:val="22"/>
              </w:rPr>
              <w:t>(</w:t>
            </w:r>
            <w:r>
              <w:rPr>
                <w:rFonts w:cs="Calibri"/>
                <w:b/>
                <w:szCs w:val="22"/>
                <w:lang w:val="uk-UA"/>
              </w:rPr>
              <w:t>години</w:t>
            </w:r>
            <w:r>
              <w:rPr>
                <w:rFonts w:cs="Calibri"/>
                <w:b/>
                <w:szCs w:val="22"/>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D6A3D" w:rsidRDefault="003D6A3D" w:rsidP="003D6A3D">
            <w:pPr>
              <w:jc w:val="center"/>
              <w:rPr>
                <w:rFonts w:cs="Calibri"/>
                <w:b/>
              </w:rPr>
            </w:pPr>
            <w:r>
              <w:rPr>
                <w:rFonts w:cs="Calibri"/>
                <w:b/>
                <w:szCs w:val="22"/>
                <w:lang w:val="uk-UA"/>
              </w:rPr>
              <w:t xml:space="preserve">Самостійна робота </w:t>
            </w:r>
            <w:r>
              <w:rPr>
                <w:rFonts w:cs="Calibri"/>
                <w:b/>
                <w:szCs w:val="22"/>
              </w:rPr>
              <w:t>(</w:t>
            </w:r>
            <w:r>
              <w:rPr>
                <w:rFonts w:cs="Calibri"/>
                <w:b/>
                <w:szCs w:val="22"/>
                <w:lang w:val="uk-UA"/>
              </w:rPr>
              <w:t>години</w:t>
            </w:r>
            <w:r>
              <w:rPr>
                <w:rFonts w:cs="Calibri"/>
                <w:b/>
                <w:szCs w:val="22"/>
              </w:rPr>
              <w:t xml:space="preserve">) </w:t>
            </w:r>
          </w:p>
        </w:tc>
        <w:tc>
          <w:tcPr>
            <w:tcW w:w="1202" w:type="dxa"/>
            <w:tcBorders>
              <w:top w:val="single" w:sz="4" w:space="0" w:color="auto"/>
              <w:left w:val="single" w:sz="4" w:space="0" w:color="auto"/>
              <w:bottom w:val="single" w:sz="4" w:space="0" w:color="auto"/>
              <w:right w:val="single" w:sz="4" w:space="0" w:color="auto"/>
            </w:tcBorders>
            <w:vAlign w:val="center"/>
            <w:hideMark/>
          </w:tcPr>
          <w:p w:rsidR="003D6A3D" w:rsidRDefault="003D6A3D" w:rsidP="003D6A3D">
            <w:pPr>
              <w:jc w:val="center"/>
              <w:rPr>
                <w:rFonts w:cs="Calibri"/>
                <w:b/>
              </w:rPr>
            </w:pPr>
            <w:r>
              <w:rPr>
                <w:rFonts w:cs="Calibri"/>
                <w:b/>
                <w:szCs w:val="22"/>
              </w:rPr>
              <w:t>ECTS</w:t>
            </w:r>
          </w:p>
        </w:tc>
      </w:tr>
      <w:tr w:rsidR="003D6A3D" w:rsidTr="00894951">
        <w:trPr>
          <w:gridAfter w:val="4"/>
          <w:wAfter w:w="3262" w:type="dxa"/>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3D6A3D" w:rsidRDefault="003D6A3D" w:rsidP="003D6A3D">
            <w:pPr>
              <w:jc w:val="center"/>
              <w:rPr>
                <w:rFonts w:cs="Calibri"/>
                <w:b/>
                <w:bCs/>
              </w:rPr>
            </w:pP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3D6A3D" w:rsidRDefault="003D6A3D" w:rsidP="003D6A3D">
            <w:pPr>
              <w:jc w:val="center"/>
              <w:rPr>
                <w:rFonts w:cs="Calibr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D6A3D" w:rsidRDefault="003D6A3D" w:rsidP="003D6A3D">
            <w:pPr>
              <w:jc w:val="center"/>
              <w:rPr>
                <w:rFonts w:cs="Calibri"/>
                <w:b/>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D6A3D" w:rsidRDefault="003D6A3D" w:rsidP="003D6A3D">
            <w:pPr>
              <w:jc w:val="center"/>
              <w:rPr>
                <w:rFonts w:cs="Calibri"/>
                <w:b/>
                <w:bCs/>
              </w:rPr>
            </w:pPr>
          </w:p>
        </w:tc>
        <w:tc>
          <w:tcPr>
            <w:tcW w:w="1202" w:type="dxa"/>
            <w:tcBorders>
              <w:top w:val="single" w:sz="4" w:space="0" w:color="auto"/>
              <w:left w:val="single" w:sz="4" w:space="0" w:color="auto"/>
              <w:bottom w:val="single" w:sz="4" w:space="0" w:color="auto"/>
              <w:right w:val="single" w:sz="4" w:space="0" w:color="auto"/>
            </w:tcBorders>
            <w:vAlign w:val="center"/>
          </w:tcPr>
          <w:p w:rsidR="003D6A3D" w:rsidRDefault="003D6A3D" w:rsidP="003D6A3D">
            <w:pPr>
              <w:jc w:val="center"/>
              <w:rPr>
                <w:rFonts w:cs="Calibri"/>
                <w:b/>
                <w:bCs/>
              </w:rPr>
            </w:pPr>
          </w:p>
        </w:tc>
      </w:tr>
      <w:tr w:rsidR="003D6A3D" w:rsidTr="00894951">
        <w:trPr>
          <w:gridAfter w:val="1"/>
          <w:wAfter w:w="425" w:type="dxa"/>
        </w:trPr>
        <w:tc>
          <w:tcPr>
            <w:tcW w:w="9696" w:type="dxa"/>
            <w:gridSpan w:val="13"/>
            <w:tcBorders>
              <w:top w:val="nil"/>
              <w:left w:val="nil"/>
              <w:bottom w:val="single" w:sz="4" w:space="0" w:color="auto"/>
              <w:right w:val="nil"/>
            </w:tcBorders>
          </w:tcPr>
          <w:p w:rsidR="003D6A3D" w:rsidRDefault="003D6A3D" w:rsidP="003D6A3D">
            <w:pPr>
              <w:rPr>
                <w:rFonts w:cs="Calibri"/>
                <w:b/>
                <w:bCs/>
              </w:rPr>
            </w:pPr>
          </w:p>
        </w:tc>
      </w:tr>
      <w:tr w:rsidR="003D6A3D" w:rsidRPr="008414D8" w:rsidTr="00894951">
        <w:trPr>
          <w:gridAfter w:val="1"/>
          <w:wAfter w:w="425" w:type="dxa"/>
        </w:trPr>
        <w:tc>
          <w:tcPr>
            <w:tcW w:w="4919" w:type="dxa"/>
            <w:gridSpan w:val="8"/>
            <w:tcBorders>
              <w:top w:val="single" w:sz="4" w:space="0" w:color="auto"/>
              <w:left w:val="single" w:sz="4" w:space="0" w:color="auto"/>
              <w:bottom w:val="single" w:sz="4" w:space="0" w:color="auto"/>
              <w:right w:val="nil"/>
            </w:tcBorders>
          </w:tcPr>
          <w:p w:rsidR="003D6A3D" w:rsidRDefault="003D6A3D" w:rsidP="003D6A3D">
            <w:pPr>
              <w:rPr>
                <w:rFonts w:cs="Calibri"/>
                <w:b/>
              </w:rPr>
            </w:pPr>
            <w:r>
              <w:rPr>
                <w:rFonts w:cs="Calibri"/>
                <w:b/>
                <w:szCs w:val="22"/>
                <w:lang w:val="uk-UA"/>
              </w:rPr>
              <w:t>Викладач (і)</w:t>
            </w:r>
            <w:r>
              <w:rPr>
                <w:rFonts w:cs="Calibri"/>
                <w:b/>
                <w:szCs w:val="22"/>
              </w:rPr>
              <w:t xml:space="preserve"> </w:t>
            </w:r>
          </w:p>
          <w:p w:rsidR="003D6A3D" w:rsidRDefault="003D6A3D" w:rsidP="003D6A3D">
            <w:pPr>
              <w:rPr>
                <w:rFonts w:cs="Calibri"/>
                <w:b/>
              </w:rPr>
            </w:pPr>
          </w:p>
        </w:tc>
        <w:tc>
          <w:tcPr>
            <w:tcW w:w="4777" w:type="dxa"/>
            <w:gridSpan w:val="5"/>
            <w:tcBorders>
              <w:top w:val="single" w:sz="4" w:space="0" w:color="auto"/>
              <w:left w:val="single" w:sz="4" w:space="0" w:color="auto"/>
              <w:bottom w:val="single" w:sz="4" w:space="0" w:color="auto"/>
              <w:right w:val="single" w:sz="4" w:space="0" w:color="auto"/>
            </w:tcBorders>
            <w:hideMark/>
          </w:tcPr>
          <w:p w:rsidR="003D6A3D" w:rsidRPr="003D6A3D" w:rsidRDefault="009E5352" w:rsidP="003D6A3D">
            <w:pPr>
              <w:rPr>
                <w:rFonts w:cs="Calibri"/>
                <w:lang w:val="uk-UA"/>
              </w:rPr>
            </w:pPr>
            <w:bookmarkStart w:id="1" w:name="Predavatelj"/>
            <w:bookmarkEnd w:id="1"/>
            <w:r>
              <w:rPr>
                <w:rFonts w:cs="Calibri"/>
                <w:b/>
                <w:szCs w:val="22"/>
                <w:lang w:val="uk-UA"/>
              </w:rPr>
              <w:t>к</w:t>
            </w:r>
            <w:r w:rsidR="003D6A3D">
              <w:rPr>
                <w:rFonts w:cs="Calibri"/>
                <w:b/>
                <w:szCs w:val="22"/>
                <w:lang w:val="uk-UA"/>
              </w:rPr>
              <w:t>.ю.н., доц. О. Головко-Гавришева</w:t>
            </w:r>
          </w:p>
        </w:tc>
      </w:tr>
      <w:tr w:rsidR="003D6A3D" w:rsidTr="00894951">
        <w:trPr>
          <w:gridAfter w:val="1"/>
          <w:wAfter w:w="425" w:type="dxa"/>
          <w:trHeight w:val="182"/>
        </w:trPr>
        <w:tc>
          <w:tcPr>
            <w:tcW w:w="4919" w:type="dxa"/>
            <w:gridSpan w:val="8"/>
            <w:tcBorders>
              <w:top w:val="single" w:sz="4" w:space="0" w:color="auto"/>
              <w:left w:val="single" w:sz="4" w:space="0" w:color="auto"/>
              <w:bottom w:val="single" w:sz="4" w:space="0" w:color="auto"/>
              <w:right w:val="nil"/>
            </w:tcBorders>
            <w:hideMark/>
          </w:tcPr>
          <w:p w:rsidR="003D6A3D" w:rsidRDefault="003D6A3D" w:rsidP="003D6A3D">
            <w:pPr>
              <w:rPr>
                <w:rFonts w:cs="Calibri"/>
                <w:b/>
              </w:rPr>
            </w:pPr>
            <w:r>
              <w:rPr>
                <w:rFonts w:cs="Calibri"/>
                <w:b/>
                <w:szCs w:val="22"/>
                <w:lang w:val="uk-UA"/>
              </w:rPr>
              <w:t>Асистент</w:t>
            </w:r>
            <w:r>
              <w:rPr>
                <w:rFonts w:cs="Calibri"/>
                <w:b/>
                <w:szCs w:val="22"/>
              </w:rPr>
              <w:t>(</w:t>
            </w:r>
            <w:r>
              <w:rPr>
                <w:rFonts w:cs="Calibri"/>
                <w:b/>
                <w:szCs w:val="22"/>
                <w:lang w:val="uk-UA"/>
              </w:rPr>
              <w:t>и</w:t>
            </w:r>
            <w:r>
              <w:rPr>
                <w:rFonts w:cs="Calibri"/>
                <w:b/>
                <w:szCs w:val="22"/>
              </w:rPr>
              <w:t>)</w:t>
            </w:r>
          </w:p>
        </w:tc>
        <w:tc>
          <w:tcPr>
            <w:tcW w:w="4777" w:type="dxa"/>
            <w:gridSpan w:val="5"/>
            <w:tcBorders>
              <w:top w:val="single" w:sz="4" w:space="0" w:color="auto"/>
              <w:left w:val="single" w:sz="4" w:space="0" w:color="auto"/>
              <w:bottom w:val="single" w:sz="4" w:space="0" w:color="auto"/>
              <w:right w:val="single" w:sz="4" w:space="0" w:color="auto"/>
            </w:tcBorders>
          </w:tcPr>
          <w:p w:rsidR="003D6A3D" w:rsidRDefault="009E5352" w:rsidP="003D6A3D">
            <w:pPr>
              <w:rPr>
                <w:rFonts w:cs="Calibri"/>
                <w:lang w:val="uk-UA"/>
              </w:rPr>
            </w:pPr>
            <w:r>
              <w:rPr>
                <w:rFonts w:cs="Calibri"/>
                <w:szCs w:val="22"/>
                <w:lang w:val="uk-UA"/>
              </w:rPr>
              <w:t xml:space="preserve">к.ю.н., доц. Федунь М.В., </w:t>
            </w:r>
          </w:p>
          <w:p w:rsidR="009E5352" w:rsidRDefault="009E5352" w:rsidP="003D6A3D">
            <w:pPr>
              <w:rPr>
                <w:rFonts w:cs="Calibri"/>
                <w:lang w:val="uk-UA"/>
              </w:rPr>
            </w:pPr>
            <w:r>
              <w:rPr>
                <w:rFonts w:cs="Calibri"/>
                <w:szCs w:val="22"/>
                <w:lang w:val="uk-UA"/>
              </w:rPr>
              <w:t>ст. викл. Олексів О.Б.,</w:t>
            </w:r>
          </w:p>
          <w:p w:rsidR="009E5352" w:rsidRPr="009E5352" w:rsidRDefault="009E5352" w:rsidP="003D6A3D">
            <w:pPr>
              <w:rPr>
                <w:rFonts w:cs="Calibri"/>
                <w:lang w:val="uk-UA"/>
              </w:rPr>
            </w:pPr>
            <w:r>
              <w:rPr>
                <w:rFonts w:cs="Calibri"/>
                <w:szCs w:val="22"/>
                <w:lang w:val="uk-UA"/>
              </w:rPr>
              <w:t xml:space="preserve">ас. </w:t>
            </w:r>
            <w:r w:rsidR="008414D8">
              <w:rPr>
                <w:rFonts w:ascii="Arial" w:hAnsi="Arial" w:cs="Arial"/>
                <w:color w:val="222222"/>
                <w:sz w:val="21"/>
                <w:szCs w:val="21"/>
                <w:shd w:val="clear" w:color="auto" w:fill="FFFFFF"/>
              </w:rPr>
              <w:t>Буковецька</w:t>
            </w:r>
            <w:r>
              <w:rPr>
                <w:rFonts w:cs="Calibri"/>
                <w:szCs w:val="22"/>
                <w:lang w:val="uk-UA"/>
              </w:rPr>
              <w:t xml:space="preserve"> Н.В.</w:t>
            </w:r>
          </w:p>
        </w:tc>
      </w:tr>
      <w:tr w:rsidR="003D6A3D" w:rsidTr="00894951">
        <w:trPr>
          <w:gridAfter w:val="1"/>
          <w:wAfter w:w="425" w:type="dxa"/>
        </w:trPr>
        <w:tc>
          <w:tcPr>
            <w:tcW w:w="9696" w:type="dxa"/>
            <w:gridSpan w:val="13"/>
            <w:tcBorders>
              <w:top w:val="single" w:sz="4" w:space="0" w:color="auto"/>
              <w:left w:val="single" w:sz="4" w:space="0" w:color="auto"/>
              <w:bottom w:val="single" w:sz="4" w:space="0" w:color="auto"/>
              <w:right w:val="single" w:sz="4" w:space="0" w:color="auto"/>
            </w:tcBorders>
          </w:tcPr>
          <w:p w:rsidR="003D6A3D" w:rsidRPr="003D6A3D" w:rsidRDefault="003D6A3D" w:rsidP="003D6A3D">
            <w:pPr>
              <w:jc w:val="both"/>
              <w:rPr>
                <w:rFonts w:cs="Calibri"/>
                <w:lang w:val="uk-UA"/>
              </w:rPr>
            </w:pPr>
          </w:p>
        </w:tc>
      </w:tr>
      <w:tr w:rsidR="003D6A3D" w:rsidTr="00894951">
        <w:trPr>
          <w:gridAfter w:val="1"/>
          <w:wAfter w:w="425" w:type="dxa"/>
        </w:trPr>
        <w:tc>
          <w:tcPr>
            <w:tcW w:w="1641" w:type="dxa"/>
            <w:gridSpan w:val="2"/>
            <w:vMerge w:val="restart"/>
            <w:tcBorders>
              <w:top w:val="single" w:sz="4" w:space="0" w:color="auto"/>
              <w:left w:val="single" w:sz="4" w:space="0" w:color="auto"/>
              <w:bottom w:val="single" w:sz="4" w:space="0" w:color="auto"/>
              <w:right w:val="single" w:sz="4" w:space="0" w:color="auto"/>
            </w:tcBorders>
            <w:hideMark/>
          </w:tcPr>
          <w:p w:rsidR="003D6A3D" w:rsidRPr="003D6A3D" w:rsidRDefault="003D6A3D" w:rsidP="003D6A3D">
            <w:pPr>
              <w:rPr>
                <w:rFonts w:cs="Calibri"/>
                <w:lang w:val="uk-UA"/>
              </w:rPr>
            </w:pPr>
            <w:r>
              <w:rPr>
                <w:rFonts w:cs="Calibri"/>
                <w:b/>
                <w:szCs w:val="22"/>
                <w:lang w:val="uk-UA"/>
              </w:rPr>
              <w:t>Мова</w:t>
            </w:r>
          </w:p>
        </w:tc>
        <w:tc>
          <w:tcPr>
            <w:tcW w:w="2242" w:type="dxa"/>
            <w:gridSpan w:val="4"/>
            <w:tcBorders>
              <w:top w:val="single" w:sz="4" w:space="0" w:color="auto"/>
              <w:left w:val="single" w:sz="4" w:space="0" w:color="auto"/>
              <w:bottom w:val="single" w:sz="4" w:space="0" w:color="auto"/>
              <w:right w:val="single" w:sz="4" w:space="0" w:color="auto"/>
            </w:tcBorders>
          </w:tcPr>
          <w:p w:rsidR="003D6A3D" w:rsidRDefault="003D6A3D" w:rsidP="003D6A3D">
            <w:pPr>
              <w:jc w:val="right"/>
              <w:rPr>
                <w:rFonts w:cs="Calibri"/>
                <w:b/>
              </w:rPr>
            </w:pPr>
          </w:p>
        </w:tc>
        <w:tc>
          <w:tcPr>
            <w:tcW w:w="5813" w:type="dxa"/>
            <w:gridSpan w:val="7"/>
            <w:tcBorders>
              <w:top w:val="single" w:sz="4" w:space="0" w:color="auto"/>
              <w:left w:val="single" w:sz="4" w:space="0" w:color="auto"/>
              <w:bottom w:val="single" w:sz="4" w:space="0" w:color="auto"/>
              <w:right w:val="single" w:sz="4" w:space="0" w:color="auto"/>
            </w:tcBorders>
            <w:hideMark/>
          </w:tcPr>
          <w:p w:rsidR="003D6A3D" w:rsidRPr="003D6A3D" w:rsidRDefault="003D6A3D" w:rsidP="003D6A3D">
            <w:pPr>
              <w:jc w:val="both"/>
              <w:rPr>
                <w:rFonts w:cs="Calibri"/>
                <w:b/>
                <w:bCs/>
                <w:lang w:val="uk-UA"/>
              </w:rPr>
            </w:pPr>
            <w:bookmarkStart w:id="2" w:name="Jezik"/>
            <w:bookmarkEnd w:id="2"/>
            <w:r>
              <w:rPr>
                <w:rFonts w:cs="Calibri"/>
                <w:b/>
                <w:bCs/>
                <w:szCs w:val="22"/>
                <w:lang w:val="uk-UA"/>
              </w:rPr>
              <w:t>Українська</w:t>
            </w:r>
          </w:p>
        </w:tc>
      </w:tr>
      <w:tr w:rsidR="003D6A3D" w:rsidTr="00894951">
        <w:trPr>
          <w:gridAfter w:val="12"/>
          <w:wAfter w:w="8480" w:type="dxa"/>
          <w:trHeight w:val="293"/>
        </w:trPr>
        <w:tc>
          <w:tcPr>
            <w:tcW w:w="1641" w:type="dxa"/>
            <w:gridSpan w:val="2"/>
            <w:vMerge/>
            <w:tcBorders>
              <w:top w:val="single" w:sz="4" w:space="0" w:color="auto"/>
              <w:left w:val="single" w:sz="4" w:space="0" w:color="auto"/>
              <w:bottom w:val="single" w:sz="4" w:space="0" w:color="auto"/>
              <w:right w:val="single" w:sz="4" w:space="0" w:color="auto"/>
            </w:tcBorders>
            <w:vAlign w:val="center"/>
            <w:hideMark/>
          </w:tcPr>
          <w:p w:rsidR="003D6A3D" w:rsidRDefault="003D6A3D" w:rsidP="003D6A3D">
            <w:pPr>
              <w:rPr>
                <w:rFonts w:cs="Calibri"/>
              </w:rPr>
            </w:pPr>
          </w:p>
        </w:tc>
      </w:tr>
      <w:tr w:rsidR="003D6A3D" w:rsidTr="00894951">
        <w:trPr>
          <w:trHeight w:val="137"/>
        </w:trPr>
        <w:tc>
          <w:tcPr>
            <w:tcW w:w="10121" w:type="dxa"/>
            <w:gridSpan w:val="14"/>
            <w:tcBorders>
              <w:top w:val="single" w:sz="4" w:space="0" w:color="auto"/>
              <w:left w:val="nil"/>
              <w:bottom w:val="single" w:sz="4" w:space="0" w:color="auto"/>
              <w:right w:val="nil"/>
            </w:tcBorders>
          </w:tcPr>
          <w:p w:rsidR="003D6A3D" w:rsidRDefault="003D6A3D" w:rsidP="003D6A3D">
            <w:pPr>
              <w:rPr>
                <w:rFonts w:cs="Calibri"/>
                <w:b/>
              </w:rPr>
            </w:pPr>
          </w:p>
          <w:p w:rsidR="003D6A3D" w:rsidRDefault="00D016EB" w:rsidP="003D6A3D">
            <w:pPr>
              <w:rPr>
                <w:rFonts w:cs="Calibri"/>
                <w:b/>
              </w:rPr>
            </w:pPr>
            <w:r>
              <w:rPr>
                <w:rFonts w:cs="Calibri"/>
                <w:b/>
                <w:szCs w:val="22"/>
                <w:lang w:val="uk-UA"/>
              </w:rPr>
              <w:t>А</w:t>
            </w:r>
            <w:r w:rsidR="009E5352">
              <w:rPr>
                <w:rFonts w:cs="Calibri"/>
                <w:b/>
                <w:szCs w:val="22"/>
                <w:lang w:val="uk-UA"/>
              </w:rPr>
              <w:t>нотація</w:t>
            </w:r>
            <w:r w:rsidR="003D6A3D">
              <w:rPr>
                <w:rFonts w:cs="Calibri"/>
                <w:b/>
                <w:szCs w:val="22"/>
              </w:rPr>
              <w:t>:</w:t>
            </w:r>
          </w:p>
        </w:tc>
      </w:tr>
      <w:tr w:rsidR="003D6A3D" w:rsidTr="00894951">
        <w:trPr>
          <w:trHeight w:val="1186"/>
        </w:trPr>
        <w:tc>
          <w:tcPr>
            <w:tcW w:w="10121" w:type="dxa"/>
            <w:gridSpan w:val="14"/>
            <w:tcBorders>
              <w:top w:val="single" w:sz="4" w:space="0" w:color="auto"/>
              <w:left w:val="single" w:sz="4" w:space="0" w:color="auto"/>
              <w:bottom w:val="single" w:sz="4" w:space="0" w:color="auto"/>
              <w:right w:val="single" w:sz="4" w:space="0" w:color="auto"/>
            </w:tcBorders>
          </w:tcPr>
          <w:p w:rsidR="009E5352" w:rsidRDefault="009E5352" w:rsidP="009E5352">
            <w:pPr>
              <w:pStyle w:val="a5"/>
            </w:pPr>
            <w:r>
              <w:t xml:space="preserve">Набуття чинності Угодою про асоціацію між Україною та Європейським Союзом (далі – УАЄС) гостро унаочнює потребу у підвищенні рівня знань про ЄС як серед широкого загалу, так і для професійної підготовки фахівців у різних сферах суспільного життя, які могли системно і ефективно реалізовувати здобутки євроінтеграційних процесів в Україні. </w:t>
            </w:r>
          </w:p>
          <w:p w:rsidR="009E5352" w:rsidRDefault="009E5352" w:rsidP="009E5352">
            <w:pPr>
              <w:pStyle w:val="a5"/>
              <w:tabs>
                <w:tab w:val="left" w:pos="6187"/>
              </w:tabs>
            </w:pPr>
            <w:r w:rsidRPr="00D53C1E">
              <w:rPr>
                <w:b/>
              </w:rPr>
              <w:t>Мета курсу</w:t>
            </w:r>
            <w:r>
              <w:t xml:space="preserve"> – ознайомити слухачів із засадами правового регулювання євроінтеграційних процесів у ЄС та сформувати блок навиків та уміння критичного осмислення для визначення переваг, недоліків, тенденцій та перспектив розвитку правового регулювання співробітництва між Україною та ЄС.</w:t>
            </w:r>
          </w:p>
          <w:p w:rsidR="009E5352" w:rsidRPr="00D53C1E" w:rsidRDefault="009E5352" w:rsidP="009E5352">
            <w:pPr>
              <w:pStyle w:val="a5"/>
              <w:tabs>
                <w:tab w:val="left" w:pos="6187"/>
              </w:tabs>
              <w:rPr>
                <w:b/>
              </w:rPr>
            </w:pPr>
            <w:r w:rsidRPr="00D53C1E">
              <w:rPr>
                <w:b/>
              </w:rPr>
              <w:t xml:space="preserve">Завдання курсу:  </w:t>
            </w:r>
          </w:p>
          <w:p w:rsidR="009E5352" w:rsidRDefault="009E5352" w:rsidP="009E5352">
            <w:pPr>
              <w:pStyle w:val="a5"/>
              <w:numPr>
                <w:ilvl w:val="0"/>
                <w:numId w:val="13"/>
              </w:numPr>
              <w:tabs>
                <w:tab w:val="left" w:pos="6187"/>
              </w:tabs>
            </w:pPr>
            <w:r>
              <w:t>Розкрити правову природу ЄС, систему і джерела права ЄС;</w:t>
            </w:r>
          </w:p>
          <w:p w:rsidR="009E5352" w:rsidRDefault="009E5352" w:rsidP="009E5352">
            <w:pPr>
              <w:pStyle w:val="a5"/>
              <w:numPr>
                <w:ilvl w:val="0"/>
                <w:numId w:val="13"/>
              </w:numPr>
              <w:tabs>
                <w:tab w:val="left" w:pos="6187"/>
              </w:tabs>
            </w:pPr>
            <w:r>
              <w:t>Охарактеризувати повноваження інститутів ЄС та форми і методи взаємодії між ними;</w:t>
            </w:r>
          </w:p>
          <w:p w:rsidR="009E5352" w:rsidRDefault="009E5352" w:rsidP="009E5352">
            <w:pPr>
              <w:pStyle w:val="a5"/>
              <w:numPr>
                <w:ilvl w:val="0"/>
                <w:numId w:val="13"/>
              </w:numPr>
              <w:tabs>
                <w:tab w:val="left" w:pos="6187"/>
              </w:tabs>
            </w:pPr>
            <w:r>
              <w:t>Дослідити правові засади регулювання економічної інтеграції у ЄС;</w:t>
            </w:r>
          </w:p>
          <w:p w:rsidR="009E5352" w:rsidRDefault="009E5352" w:rsidP="009E5352">
            <w:pPr>
              <w:pStyle w:val="a5"/>
              <w:numPr>
                <w:ilvl w:val="0"/>
                <w:numId w:val="13"/>
              </w:numPr>
              <w:tabs>
                <w:tab w:val="left" w:pos="6187"/>
              </w:tabs>
            </w:pPr>
            <w:r>
              <w:t>Вивчити правові механізми співпраці між ЄС та Україною, зокрема проблеми реалізації Угоди про асоціацію між Україною та ЄС у правовій системі України та окреслити потенційні напрями і шляхи їхнього подолання.</w:t>
            </w:r>
          </w:p>
          <w:p w:rsidR="009E5352" w:rsidRDefault="009E5352" w:rsidP="009E5352">
            <w:pPr>
              <w:pStyle w:val="a5"/>
              <w:tabs>
                <w:tab w:val="left" w:pos="6187"/>
              </w:tabs>
              <w:ind w:left="360"/>
            </w:pPr>
            <w:r>
              <w:t>А також</w:t>
            </w:r>
          </w:p>
          <w:p w:rsidR="009E5352" w:rsidRDefault="009E5352" w:rsidP="009E5352">
            <w:pPr>
              <w:pStyle w:val="a5"/>
              <w:numPr>
                <w:ilvl w:val="0"/>
                <w:numId w:val="13"/>
              </w:numPr>
              <w:tabs>
                <w:tab w:val="left" w:pos="6187"/>
              </w:tabs>
            </w:pPr>
            <w:r>
              <w:t xml:space="preserve">Сформувати навики </w:t>
            </w:r>
            <w:r>
              <w:rPr>
                <w:lang w:val="en-US"/>
              </w:rPr>
              <w:t>crtitical</w:t>
            </w:r>
            <w:r w:rsidRPr="00556E98">
              <w:t xml:space="preserve"> </w:t>
            </w:r>
            <w:r>
              <w:rPr>
                <w:lang w:val="en-US"/>
              </w:rPr>
              <w:t>thinking</w:t>
            </w:r>
            <w:r w:rsidRPr="00556E98">
              <w:t xml:space="preserve"> </w:t>
            </w:r>
            <w:r>
              <w:t xml:space="preserve">і </w:t>
            </w:r>
            <w:r w:rsidRPr="00556E98">
              <w:t xml:space="preserve">самостійного аналізу сучасного стану впровадження правових стандартів Європейського Союзу </w:t>
            </w:r>
            <w:r>
              <w:t>в Україні;</w:t>
            </w:r>
          </w:p>
          <w:p w:rsidR="009E5352" w:rsidRDefault="009E5352" w:rsidP="009E5352">
            <w:pPr>
              <w:pStyle w:val="a5"/>
              <w:numPr>
                <w:ilvl w:val="0"/>
                <w:numId w:val="13"/>
              </w:numPr>
              <w:tabs>
                <w:tab w:val="left" w:pos="6187"/>
              </w:tabs>
            </w:pPr>
            <w:r>
              <w:t>Розвинути уміння формулювати свою позицію у формі аналітичних довідок і матеріалів, пов’язаних з обґрунтуванням позиції України щодо співробітництва з ЄС у конкретних випадках.</w:t>
            </w:r>
          </w:p>
          <w:p w:rsidR="009E5352" w:rsidRDefault="009E5352" w:rsidP="009E5352">
            <w:pPr>
              <w:pStyle w:val="a5"/>
              <w:tabs>
                <w:tab w:val="left" w:pos="6187"/>
              </w:tabs>
            </w:pPr>
            <w:r>
              <w:t>Курс пов'язаний з такими дисциплінами як теорія держави і права, міжнародне публічне право, право міжнародних організацій, міжнародне приватне право та порівняльне конституційне право.</w:t>
            </w:r>
          </w:p>
          <w:p w:rsidR="009E5352" w:rsidRDefault="009E5352" w:rsidP="009E5352">
            <w:pPr>
              <w:pStyle w:val="a5"/>
              <w:tabs>
                <w:tab w:val="left" w:pos="6187"/>
              </w:tabs>
            </w:pPr>
            <w:r w:rsidRPr="00D53C1E">
              <w:rPr>
                <w:b/>
              </w:rPr>
              <w:t>Оцінювання</w:t>
            </w:r>
            <w:r>
              <w:t xml:space="preserve"> </w:t>
            </w:r>
            <w:r w:rsidRPr="00D53C1E">
              <w:rPr>
                <w:b/>
              </w:rPr>
              <w:t>знань</w:t>
            </w:r>
            <w:r>
              <w:t>: відповідно до стандарту факультету міжнародних відносин ЛНУ імені Івана Франка.</w:t>
            </w:r>
          </w:p>
          <w:p w:rsidR="009E5352" w:rsidRDefault="009E5352" w:rsidP="003D6A3D">
            <w:pPr>
              <w:pStyle w:val="alineja"/>
              <w:numPr>
                <w:ilvl w:val="0"/>
                <w:numId w:val="0"/>
              </w:numPr>
              <w:tabs>
                <w:tab w:val="left" w:pos="708"/>
              </w:tabs>
              <w:rPr>
                <w:rFonts w:ascii="Calibri" w:hAnsi="Calibri"/>
                <w:b/>
                <w:lang w:val="uk-UA"/>
              </w:rPr>
            </w:pPr>
          </w:p>
          <w:p w:rsidR="00894951" w:rsidRPr="00404782" w:rsidRDefault="00894951" w:rsidP="00894951">
            <w:pPr>
              <w:pStyle w:val="a5"/>
              <w:jc w:val="center"/>
              <w:rPr>
                <w:b/>
              </w:rPr>
            </w:pPr>
            <w:r w:rsidRPr="00404782">
              <w:rPr>
                <w:b/>
              </w:rPr>
              <w:t>НАВЧАЛЬНИЙ ПЛАН</w:t>
            </w:r>
            <w:r>
              <w:rPr>
                <w:b/>
              </w:rPr>
              <w:tab/>
            </w:r>
            <w:r>
              <w:rPr>
                <w:b/>
              </w:rPr>
              <w:tab/>
            </w:r>
            <w:r>
              <w:rPr>
                <w:b/>
              </w:rPr>
              <w:tab/>
            </w:r>
            <w:r>
              <w:rPr>
                <w:b/>
              </w:rPr>
              <w:tab/>
            </w:r>
            <w:r>
              <w:rPr>
                <w:b/>
              </w:rPr>
              <w:tab/>
            </w:r>
            <w:r>
              <w:rPr>
                <w:b/>
              </w:rPr>
              <w:tab/>
              <w:t>І-ий семестр 2017/2018 н.р.</w:t>
            </w:r>
          </w:p>
          <w:p w:rsidR="00894951" w:rsidRDefault="00894951" w:rsidP="00894951">
            <w:pPr>
              <w:pStyle w:val="a5"/>
            </w:pPr>
          </w:p>
          <w:p w:rsidR="00894951" w:rsidRPr="00061322" w:rsidRDefault="00894951" w:rsidP="00894951">
            <w:pPr>
              <w:pStyle w:val="a5"/>
              <w:rPr>
                <w:b/>
              </w:rPr>
            </w:pPr>
            <w:r w:rsidRPr="00061322">
              <w:rPr>
                <w:b/>
              </w:rPr>
              <w:t xml:space="preserve">План лекційних занять </w:t>
            </w:r>
          </w:p>
          <w:tbl>
            <w:tblPr>
              <w:tblStyle w:val="a3"/>
              <w:tblW w:w="0" w:type="auto"/>
              <w:tblLayout w:type="fixed"/>
              <w:tblLook w:val="04A0"/>
            </w:tblPr>
            <w:tblGrid>
              <w:gridCol w:w="2552"/>
              <w:gridCol w:w="5812"/>
              <w:gridCol w:w="1667"/>
            </w:tblGrid>
            <w:tr w:rsidR="00894951" w:rsidRPr="00061322" w:rsidTr="002E6AAB">
              <w:tc>
                <w:tcPr>
                  <w:tcW w:w="2552" w:type="dxa"/>
                </w:tcPr>
                <w:p w:rsidR="00894951" w:rsidRPr="00061322" w:rsidRDefault="00894951" w:rsidP="00894951">
                  <w:pPr>
                    <w:pStyle w:val="a5"/>
                    <w:framePr w:hSpace="180" w:wrap="around" w:vAnchor="text" w:hAnchor="text" w:y="1"/>
                    <w:suppressOverlap/>
                    <w:rPr>
                      <w:b/>
                      <w:i/>
                    </w:rPr>
                  </w:pPr>
                  <w:r w:rsidRPr="00061322">
                    <w:rPr>
                      <w:b/>
                      <w:i/>
                    </w:rPr>
                    <w:t>Дата проведення</w:t>
                  </w:r>
                </w:p>
              </w:tc>
              <w:tc>
                <w:tcPr>
                  <w:tcW w:w="5812" w:type="dxa"/>
                </w:tcPr>
                <w:p w:rsidR="00894951" w:rsidRPr="00061322" w:rsidRDefault="00894951" w:rsidP="00894951">
                  <w:pPr>
                    <w:pStyle w:val="a5"/>
                    <w:framePr w:hSpace="180" w:wrap="around" w:vAnchor="text" w:hAnchor="text" w:y="1"/>
                    <w:suppressOverlap/>
                    <w:rPr>
                      <w:b/>
                      <w:i/>
                    </w:rPr>
                  </w:pPr>
                  <w:r w:rsidRPr="00061322">
                    <w:rPr>
                      <w:b/>
                      <w:i/>
                    </w:rPr>
                    <w:t xml:space="preserve">Тема заняття </w:t>
                  </w:r>
                </w:p>
              </w:tc>
              <w:tc>
                <w:tcPr>
                  <w:tcW w:w="1667" w:type="dxa"/>
                </w:tcPr>
                <w:p w:rsidR="00894951" w:rsidRPr="00061322" w:rsidRDefault="00894951" w:rsidP="00894951">
                  <w:pPr>
                    <w:pStyle w:val="a5"/>
                    <w:framePr w:hSpace="180" w:wrap="around" w:vAnchor="text" w:hAnchor="text" w:y="1"/>
                    <w:suppressOverlap/>
                    <w:rPr>
                      <w:b/>
                      <w:i/>
                    </w:rPr>
                  </w:pPr>
                  <w:r w:rsidRPr="00061322">
                    <w:rPr>
                      <w:b/>
                      <w:i/>
                    </w:rPr>
                    <w:t>Примітки</w:t>
                  </w:r>
                </w:p>
              </w:tc>
            </w:tr>
            <w:tr w:rsidR="00894951" w:rsidRPr="008414D8" w:rsidTr="002E6AAB">
              <w:tc>
                <w:tcPr>
                  <w:tcW w:w="2552" w:type="dxa"/>
                </w:tcPr>
                <w:p w:rsidR="00894951" w:rsidRDefault="00894951" w:rsidP="00894951">
                  <w:pPr>
                    <w:pStyle w:val="a5"/>
                    <w:framePr w:hSpace="180" w:wrap="around" w:vAnchor="text" w:hAnchor="text" w:y="1"/>
                    <w:suppressOverlap/>
                  </w:pPr>
                  <w:r>
                    <w:t>11 вересня 2017 р.</w:t>
                  </w:r>
                </w:p>
              </w:tc>
              <w:tc>
                <w:tcPr>
                  <w:tcW w:w="5812" w:type="dxa"/>
                </w:tcPr>
                <w:p w:rsidR="00894951" w:rsidRDefault="00894951" w:rsidP="00894951">
                  <w:pPr>
                    <w:pStyle w:val="a5"/>
                    <w:framePr w:hSpace="180" w:wrap="around" w:vAnchor="text" w:hAnchor="text" w:y="1"/>
                    <w:suppressOverlap/>
                  </w:pPr>
                  <w:r>
                    <w:t>Вступ до курсу, основні поняття. Історія становлення і виникнення Європейського Союзу</w:t>
                  </w:r>
                </w:p>
              </w:tc>
              <w:tc>
                <w:tcPr>
                  <w:tcW w:w="1667" w:type="dxa"/>
                </w:tcPr>
                <w:p w:rsidR="00894951" w:rsidRDefault="00894951" w:rsidP="00894951">
                  <w:pPr>
                    <w:pStyle w:val="a5"/>
                    <w:framePr w:hSpace="180" w:wrap="around" w:vAnchor="text" w:hAnchor="text" w:y="1"/>
                    <w:suppressOverlap/>
                  </w:pPr>
                </w:p>
              </w:tc>
            </w:tr>
            <w:tr w:rsidR="00894951" w:rsidRPr="008414D8" w:rsidTr="002E6AAB">
              <w:tc>
                <w:tcPr>
                  <w:tcW w:w="2552" w:type="dxa"/>
                </w:tcPr>
                <w:p w:rsidR="00894951" w:rsidRDefault="00894951" w:rsidP="00894951">
                  <w:pPr>
                    <w:pStyle w:val="a5"/>
                    <w:framePr w:hSpace="180" w:wrap="around" w:vAnchor="text" w:hAnchor="text" w:y="1"/>
                    <w:suppressOverlap/>
                  </w:pPr>
                  <w:r>
                    <w:lastRenderedPageBreak/>
                    <w:t>25 вересня 2017 р.</w:t>
                  </w:r>
                </w:p>
              </w:tc>
              <w:tc>
                <w:tcPr>
                  <w:tcW w:w="5812" w:type="dxa"/>
                </w:tcPr>
                <w:p w:rsidR="00894951" w:rsidRDefault="00894951" w:rsidP="00894951">
                  <w:pPr>
                    <w:pStyle w:val="a5"/>
                    <w:framePr w:hSpace="180" w:wrap="around" w:vAnchor="text" w:hAnchor="text" w:y="1"/>
                    <w:suppressOverlap/>
                  </w:pPr>
                  <w:r>
                    <w:t xml:space="preserve">Правова природа Європейського Союзу. Міжнародна правосуб’єктність ЄС. </w:t>
                  </w:r>
                </w:p>
              </w:tc>
              <w:tc>
                <w:tcPr>
                  <w:tcW w:w="1667" w:type="dxa"/>
                </w:tcPr>
                <w:p w:rsidR="00894951" w:rsidRDefault="00894951" w:rsidP="00894951">
                  <w:pPr>
                    <w:pStyle w:val="a5"/>
                    <w:framePr w:hSpace="180" w:wrap="around" w:vAnchor="text" w:hAnchor="text" w:y="1"/>
                    <w:suppressOverlap/>
                  </w:pPr>
                </w:p>
              </w:tc>
            </w:tr>
            <w:tr w:rsidR="00894951" w:rsidTr="002E6AAB">
              <w:tc>
                <w:tcPr>
                  <w:tcW w:w="2552" w:type="dxa"/>
                </w:tcPr>
                <w:p w:rsidR="00894951" w:rsidRDefault="00894951" w:rsidP="00894951">
                  <w:pPr>
                    <w:pStyle w:val="a5"/>
                    <w:framePr w:hSpace="180" w:wrap="around" w:vAnchor="text" w:hAnchor="text" w:y="1"/>
                    <w:suppressOverlap/>
                  </w:pPr>
                  <w:r>
                    <w:t>9 жовтня 2017 р.</w:t>
                  </w:r>
                </w:p>
              </w:tc>
              <w:tc>
                <w:tcPr>
                  <w:tcW w:w="5812" w:type="dxa"/>
                </w:tcPr>
                <w:p w:rsidR="00894951" w:rsidRDefault="00894951" w:rsidP="00894951">
                  <w:pPr>
                    <w:pStyle w:val="a5"/>
                    <w:framePr w:hSpace="180" w:wrap="around" w:vAnchor="text" w:hAnchor="text" w:y="1"/>
                    <w:suppressOverlap/>
                  </w:pPr>
                  <w:r>
                    <w:t>Поняття та система права ЄС. Основи інституційного права ЄС.</w:t>
                  </w:r>
                </w:p>
              </w:tc>
              <w:tc>
                <w:tcPr>
                  <w:tcW w:w="1667" w:type="dxa"/>
                </w:tcPr>
                <w:p w:rsidR="00894951" w:rsidRDefault="00894951" w:rsidP="00894951">
                  <w:pPr>
                    <w:pStyle w:val="a5"/>
                    <w:framePr w:hSpace="180" w:wrap="around" w:vAnchor="text" w:hAnchor="text" w:y="1"/>
                    <w:suppressOverlap/>
                  </w:pPr>
                </w:p>
              </w:tc>
            </w:tr>
            <w:tr w:rsidR="00894951" w:rsidRPr="008414D8" w:rsidTr="002E6AAB">
              <w:tc>
                <w:tcPr>
                  <w:tcW w:w="2552" w:type="dxa"/>
                </w:tcPr>
                <w:p w:rsidR="00894951" w:rsidRDefault="00894951" w:rsidP="00894951">
                  <w:pPr>
                    <w:pStyle w:val="a5"/>
                    <w:framePr w:hSpace="180" w:wrap="around" w:vAnchor="text" w:hAnchor="text" w:y="1"/>
                    <w:suppressOverlap/>
                  </w:pPr>
                  <w:r>
                    <w:t>23 жовтня 2017 р.</w:t>
                  </w:r>
                </w:p>
              </w:tc>
              <w:tc>
                <w:tcPr>
                  <w:tcW w:w="5812" w:type="dxa"/>
                </w:tcPr>
                <w:p w:rsidR="00894951" w:rsidRDefault="00894951" w:rsidP="00894951">
                  <w:pPr>
                    <w:pStyle w:val="a5"/>
                    <w:framePr w:hSpace="180" w:wrap="around" w:vAnchor="text" w:hAnchor="text" w:y="1"/>
                    <w:suppressOverlap/>
                  </w:pPr>
                  <w:r>
                    <w:t>Митний Союз ЄС. Митна номенклатура ЄС.</w:t>
                  </w:r>
                </w:p>
              </w:tc>
              <w:tc>
                <w:tcPr>
                  <w:tcW w:w="1667" w:type="dxa"/>
                </w:tcPr>
                <w:p w:rsidR="00894951" w:rsidRDefault="00894951" w:rsidP="00894951">
                  <w:pPr>
                    <w:pStyle w:val="a5"/>
                    <w:framePr w:hSpace="180" w:wrap="around" w:vAnchor="text" w:hAnchor="text" w:y="1"/>
                    <w:suppressOverlap/>
                  </w:pPr>
                </w:p>
              </w:tc>
            </w:tr>
            <w:tr w:rsidR="00894951" w:rsidRPr="008414D8" w:rsidTr="002E6AAB">
              <w:tc>
                <w:tcPr>
                  <w:tcW w:w="2552" w:type="dxa"/>
                </w:tcPr>
                <w:p w:rsidR="00894951" w:rsidRDefault="00894951" w:rsidP="00894951">
                  <w:pPr>
                    <w:pStyle w:val="a5"/>
                    <w:framePr w:hSpace="180" w:wrap="around" w:vAnchor="text" w:hAnchor="text" w:y="1"/>
                    <w:suppressOverlap/>
                  </w:pPr>
                  <w:r>
                    <w:t>6 листопада 2017 р.</w:t>
                  </w:r>
                </w:p>
              </w:tc>
              <w:tc>
                <w:tcPr>
                  <w:tcW w:w="5812" w:type="dxa"/>
                </w:tcPr>
                <w:p w:rsidR="00894951" w:rsidRDefault="00894951" w:rsidP="00894951">
                  <w:pPr>
                    <w:pStyle w:val="a5"/>
                    <w:framePr w:hSpace="180" w:wrap="around" w:vAnchor="text" w:hAnchor="text" w:y="1"/>
                    <w:suppressOverlap/>
                  </w:pPr>
                  <w:r>
                    <w:t>Право внутрішнього ринку ЄС – свобода руху товарів та послуг</w:t>
                  </w:r>
                </w:p>
              </w:tc>
              <w:tc>
                <w:tcPr>
                  <w:tcW w:w="1667" w:type="dxa"/>
                </w:tcPr>
                <w:p w:rsidR="00894951" w:rsidRDefault="00894951" w:rsidP="00894951">
                  <w:pPr>
                    <w:pStyle w:val="a5"/>
                    <w:framePr w:hSpace="180" w:wrap="around" w:vAnchor="text" w:hAnchor="text" w:y="1"/>
                    <w:suppressOverlap/>
                  </w:pPr>
                </w:p>
              </w:tc>
            </w:tr>
            <w:tr w:rsidR="00894951" w:rsidRPr="008414D8" w:rsidTr="002E6AAB">
              <w:tc>
                <w:tcPr>
                  <w:tcW w:w="2552" w:type="dxa"/>
                </w:tcPr>
                <w:p w:rsidR="00894951" w:rsidRDefault="00894951" w:rsidP="00894951">
                  <w:pPr>
                    <w:pStyle w:val="a5"/>
                    <w:framePr w:hSpace="180" w:wrap="around" w:vAnchor="text" w:hAnchor="text" w:y="1"/>
                    <w:suppressOverlap/>
                  </w:pPr>
                  <w:r>
                    <w:t>20 листопада 2017 р.</w:t>
                  </w:r>
                </w:p>
              </w:tc>
              <w:tc>
                <w:tcPr>
                  <w:tcW w:w="5812" w:type="dxa"/>
                </w:tcPr>
                <w:p w:rsidR="00894951" w:rsidRDefault="00894951" w:rsidP="00894951">
                  <w:pPr>
                    <w:pStyle w:val="a5"/>
                    <w:framePr w:hSpace="180" w:wrap="around" w:vAnchor="text" w:hAnchor="text" w:y="1"/>
                    <w:suppressOverlap/>
                  </w:pPr>
                  <w:r>
                    <w:t>Право внутрішнього ринку ЄС – свобода руху осіб</w:t>
                  </w:r>
                </w:p>
              </w:tc>
              <w:tc>
                <w:tcPr>
                  <w:tcW w:w="1667" w:type="dxa"/>
                </w:tcPr>
                <w:p w:rsidR="00894951" w:rsidRDefault="00894951" w:rsidP="00894951">
                  <w:pPr>
                    <w:pStyle w:val="a5"/>
                    <w:framePr w:hSpace="180" w:wrap="around" w:vAnchor="text" w:hAnchor="text" w:y="1"/>
                    <w:suppressOverlap/>
                  </w:pPr>
                </w:p>
              </w:tc>
            </w:tr>
            <w:tr w:rsidR="00894951" w:rsidRPr="008414D8" w:rsidTr="002E6AAB">
              <w:tc>
                <w:tcPr>
                  <w:tcW w:w="2552" w:type="dxa"/>
                </w:tcPr>
                <w:p w:rsidR="00894951" w:rsidRDefault="00894951" w:rsidP="00894951">
                  <w:pPr>
                    <w:pStyle w:val="a5"/>
                    <w:framePr w:hSpace="180" w:wrap="around" w:vAnchor="text" w:hAnchor="text" w:y="1"/>
                    <w:suppressOverlap/>
                  </w:pPr>
                  <w:r>
                    <w:t>4 грудня 2017 р.</w:t>
                  </w:r>
                </w:p>
              </w:tc>
              <w:tc>
                <w:tcPr>
                  <w:tcW w:w="5812" w:type="dxa"/>
                </w:tcPr>
                <w:p w:rsidR="00894951" w:rsidRDefault="00894951" w:rsidP="00894951">
                  <w:pPr>
                    <w:pStyle w:val="a5"/>
                    <w:framePr w:hSpace="180" w:wrap="around" w:vAnchor="text" w:hAnchor="text" w:y="1"/>
                    <w:suppressOverlap/>
                  </w:pPr>
                  <w:r>
                    <w:t>Право внутрішнього ринку ЄС – свобода руху капіталу та платежів</w:t>
                  </w:r>
                </w:p>
              </w:tc>
              <w:tc>
                <w:tcPr>
                  <w:tcW w:w="1667" w:type="dxa"/>
                </w:tcPr>
                <w:p w:rsidR="00894951" w:rsidRDefault="00894951" w:rsidP="00894951">
                  <w:pPr>
                    <w:pStyle w:val="a5"/>
                    <w:framePr w:hSpace="180" w:wrap="around" w:vAnchor="text" w:hAnchor="text" w:y="1"/>
                    <w:suppressOverlap/>
                  </w:pPr>
                </w:p>
              </w:tc>
            </w:tr>
            <w:tr w:rsidR="00894951" w:rsidRPr="008414D8" w:rsidTr="002E6AAB">
              <w:tc>
                <w:tcPr>
                  <w:tcW w:w="2552" w:type="dxa"/>
                </w:tcPr>
                <w:p w:rsidR="00894951" w:rsidRDefault="00894951" w:rsidP="00894951">
                  <w:pPr>
                    <w:pStyle w:val="a5"/>
                    <w:framePr w:hSpace="180" w:wrap="around" w:vAnchor="text" w:hAnchor="text" w:y="1"/>
                    <w:suppressOverlap/>
                  </w:pPr>
                  <w:r>
                    <w:t>18 грудня 2017 р.</w:t>
                  </w:r>
                </w:p>
              </w:tc>
              <w:tc>
                <w:tcPr>
                  <w:tcW w:w="5812" w:type="dxa"/>
                </w:tcPr>
                <w:p w:rsidR="00894951" w:rsidRDefault="00894951" w:rsidP="00894951">
                  <w:pPr>
                    <w:pStyle w:val="a5"/>
                    <w:framePr w:hSpace="180" w:wrap="around" w:vAnchor="text" w:hAnchor="text" w:y="1"/>
                    <w:suppressOverlap/>
                  </w:pPr>
                  <w:r>
                    <w:t>Основи правового регулювання захисту конкуренції в ЄС.</w:t>
                  </w:r>
                </w:p>
              </w:tc>
              <w:tc>
                <w:tcPr>
                  <w:tcW w:w="1667" w:type="dxa"/>
                </w:tcPr>
                <w:p w:rsidR="00894951" w:rsidRDefault="00894951" w:rsidP="00894951">
                  <w:pPr>
                    <w:pStyle w:val="a5"/>
                    <w:framePr w:hSpace="180" w:wrap="around" w:vAnchor="text" w:hAnchor="text" w:y="1"/>
                    <w:suppressOverlap/>
                  </w:pPr>
                </w:p>
              </w:tc>
            </w:tr>
          </w:tbl>
          <w:p w:rsidR="00894951" w:rsidRPr="003D6A3D" w:rsidRDefault="00894951" w:rsidP="00894951">
            <w:pPr>
              <w:rPr>
                <w:lang w:val="ru-RU"/>
              </w:rPr>
            </w:pPr>
          </w:p>
          <w:p w:rsidR="00894951" w:rsidRPr="00061322" w:rsidRDefault="00894951" w:rsidP="00894951">
            <w:pPr>
              <w:pStyle w:val="a5"/>
              <w:rPr>
                <w:b/>
              </w:rPr>
            </w:pPr>
            <w:r w:rsidRPr="00061322">
              <w:rPr>
                <w:b/>
              </w:rPr>
              <w:t xml:space="preserve">Плани семінарських занять </w:t>
            </w:r>
          </w:p>
          <w:tbl>
            <w:tblPr>
              <w:tblStyle w:val="a3"/>
              <w:tblW w:w="10031" w:type="dxa"/>
              <w:tblLayout w:type="fixed"/>
              <w:tblLook w:val="04A0"/>
            </w:tblPr>
            <w:tblGrid>
              <w:gridCol w:w="2552"/>
              <w:gridCol w:w="3969"/>
              <w:gridCol w:w="3510"/>
            </w:tblGrid>
            <w:tr w:rsidR="00894951" w:rsidTr="00894951">
              <w:tc>
                <w:tcPr>
                  <w:tcW w:w="2552" w:type="dxa"/>
                </w:tcPr>
                <w:p w:rsidR="00894951" w:rsidRDefault="00894951" w:rsidP="00894951">
                  <w:pPr>
                    <w:pStyle w:val="a5"/>
                    <w:framePr w:hSpace="180" w:wrap="around" w:vAnchor="text" w:hAnchor="text" w:y="1"/>
                    <w:suppressOverlap/>
                  </w:pPr>
                  <w:r>
                    <w:t>Тема заняття</w:t>
                  </w:r>
                </w:p>
              </w:tc>
              <w:tc>
                <w:tcPr>
                  <w:tcW w:w="3969" w:type="dxa"/>
                </w:tcPr>
                <w:p w:rsidR="00894951" w:rsidRDefault="00894951" w:rsidP="00894951">
                  <w:pPr>
                    <w:pStyle w:val="a5"/>
                    <w:framePr w:hSpace="180" w:wrap="around" w:vAnchor="text" w:hAnchor="text" w:y="1"/>
                    <w:suppressOverlap/>
                  </w:pPr>
                  <w:r>
                    <w:t xml:space="preserve">Питання до обговорення </w:t>
                  </w:r>
                </w:p>
              </w:tc>
              <w:tc>
                <w:tcPr>
                  <w:tcW w:w="3510" w:type="dxa"/>
                </w:tcPr>
                <w:p w:rsidR="00894951" w:rsidRDefault="00894951" w:rsidP="00894951">
                  <w:pPr>
                    <w:pStyle w:val="a5"/>
                    <w:framePr w:hSpace="180" w:wrap="around" w:vAnchor="text" w:hAnchor="text" w:y="1"/>
                    <w:suppressOverlap/>
                  </w:pPr>
                  <w:r>
                    <w:t>Примітки</w:t>
                  </w:r>
                </w:p>
              </w:tc>
            </w:tr>
            <w:tr w:rsidR="00894951" w:rsidRPr="008414D8" w:rsidTr="00894951">
              <w:tc>
                <w:tcPr>
                  <w:tcW w:w="2552" w:type="dxa"/>
                </w:tcPr>
                <w:p w:rsidR="00894951" w:rsidRDefault="00894951" w:rsidP="00894951">
                  <w:pPr>
                    <w:pStyle w:val="a5"/>
                    <w:framePr w:hSpace="180" w:wrap="around" w:vAnchor="text" w:hAnchor="text" w:y="1"/>
                    <w:suppressOverlap/>
                  </w:pPr>
                  <w:r>
                    <w:t>Міжнародно-правове становище Європейського Союзу</w:t>
                  </w:r>
                </w:p>
              </w:tc>
              <w:tc>
                <w:tcPr>
                  <w:tcW w:w="3969" w:type="dxa"/>
                </w:tcPr>
                <w:p w:rsidR="00894951" w:rsidRDefault="00894951" w:rsidP="00894951">
                  <w:pPr>
                    <w:pStyle w:val="a5"/>
                    <w:framePr w:hSpace="180" w:wrap="around" w:vAnchor="text" w:hAnchor="text" w:y="1"/>
                    <w:numPr>
                      <w:ilvl w:val="0"/>
                      <w:numId w:val="2"/>
                    </w:numPr>
                    <w:suppressOverlap/>
                  </w:pPr>
                  <w:r>
                    <w:t>Історія становлення ЄС</w:t>
                  </w:r>
                </w:p>
                <w:p w:rsidR="00894951" w:rsidRDefault="00894951" w:rsidP="00894951">
                  <w:pPr>
                    <w:pStyle w:val="a5"/>
                    <w:framePr w:hSpace="180" w:wrap="around" w:vAnchor="text" w:hAnchor="text" w:y="1"/>
                    <w:numPr>
                      <w:ilvl w:val="0"/>
                      <w:numId w:val="2"/>
                    </w:numPr>
                    <w:suppressOverlap/>
                  </w:pPr>
                  <w:r>
                    <w:t>Цінності ЄС.</w:t>
                  </w:r>
                </w:p>
                <w:p w:rsidR="00894951" w:rsidRDefault="00894951" w:rsidP="00894951">
                  <w:pPr>
                    <w:pStyle w:val="a5"/>
                    <w:framePr w:hSpace="180" w:wrap="around" w:vAnchor="text" w:hAnchor="text" w:y="1"/>
                    <w:numPr>
                      <w:ilvl w:val="0"/>
                      <w:numId w:val="2"/>
                    </w:numPr>
                    <w:suppressOverlap/>
                  </w:pPr>
                  <w:r>
                    <w:t>Природа ЄС</w:t>
                  </w:r>
                </w:p>
                <w:p w:rsidR="00894951" w:rsidRDefault="00894951" w:rsidP="00894951">
                  <w:pPr>
                    <w:pStyle w:val="a5"/>
                    <w:framePr w:hSpace="180" w:wrap="around" w:vAnchor="text" w:hAnchor="text" w:y="1"/>
                    <w:numPr>
                      <w:ilvl w:val="0"/>
                      <w:numId w:val="2"/>
                    </w:numPr>
                    <w:suppressOverlap/>
                  </w:pPr>
                  <w:r>
                    <w:t>Міжнародно-правова відповідальність ЄС</w:t>
                  </w:r>
                </w:p>
                <w:p w:rsidR="00894951" w:rsidRDefault="00894951" w:rsidP="00894951">
                  <w:pPr>
                    <w:pStyle w:val="a5"/>
                    <w:framePr w:hSpace="180" w:wrap="around" w:vAnchor="text" w:hAnchor="text" w:y="1"/>
                    <w:numPr>
                      <w:ilvl w:val="0"/>
                      <w:numId w:val="2"/>
                    </w:numPr>
                    <w:suppressOverlap/>
                  </w:pPr>
                  <w:r>
                    <w:t>Правове регулювання відносин України та ЄС: сучасний стан, проблеми та перспективи</w:t>
                  </w:r>
                </w:p>
              </w:tc>
              <w:tc>
                <w:tcPr>
                  <w:tcW w:w="3510" w:type="dxa"/>
                </w:tcPr>
                <w:p w:rsidR="00894951" w:rsidRDefault="00894951" w:rsidP="00894951">
                  <w:pPr>
                    <w:pStyle w:val="a5"/>
                    <w:framePr w:hSpace="180" w:wrap="around" w:vAnchor="text" w:hAnchor="text" w:y="1"/>
                    <w:suppressOverlap/>
                  </w:pPr>
                </w:p>
              </w:tc>
            </w:tr>
            <w:tr w:rsidR="00894951" w:rsidRPr="008414D8" w:rsidTr="00894951">
              <w:tc>
                <w:tcPr>
                  <w:tcW w:w="2552" w:type="dxa"/>
                </w:tcPr>
                <w:p w:rsidR="00894951" w:rsidRDefault="00894951" w:rsidP="00894951">
                  <w:pPr>
                    <w:pStyle w:val="a5"/>
                    <w:framePr w:hSpace="180" w:wrap="around" w:vAnchor="text" w:hAnchor="text" w:y="1"/>
                    <w:suppressOverlap/>
                  </w:pPr>
                  <w:r>
                    <w:t>Поняття та система права ЄС</w:t>
                  </w:r>
                </w:p>
              </w:tc>
              <w:tc>
                <w:tcPr>
                  <w:tcW w:w="3969" w:type="dxa"/>
                </w:tcPr>
                <w:p w:rsidR="00894951" w:rsidRDefault="00894951" w:rsidP="00894951">
                  <w:pPr>
                    <w:pStyle w:val="a5"/>
                    <w:framePr w:hSpace="180" w:wrap="around" w:vAnchor="text" w:hAnchor="text" w:y="1"/>
                    <w:numPr>
                      <w:ilvl w:val="0"/>
                      <w:numId w:val="3"/>
                    </w:numPr>
                    <w:suppressOverlap/>
                  </w:pPr>
                  <w:r>
                    <w:t>Поняття та теорії права ЄС.</w:t>
                  </w:r>
                </w:p>
                <w:p w:rsidR="00894951" w:rsidRDefault="00894951" w:rsidP="00894951">
                  <w:pPr>
                    <w:pStyle w:val="a5"/>
                    <w:framePr w:hSpace="180" w:wrap="around" w:vAnchor="text" w:hAnchor="text" w:y="1"/>
                    <w:numPr>
                      <w:ilvl w:val="0"/>
                      <w:numId w:val="3"/>
                    </w:numPr>
                    <w:suppressOverlap/>
                  </w:pPr>
                  <w:r>
                    <w:t xml:space="preserve">Інституційне </w:t>
                  </w:r>
                  <w:r>
                    <w:rPr>
                      <w:lang w:val="en-US"/>
                    </w:rPr>
                    <w:t xml:space="preserve">vs </w:t>
                  </w:r>
                  <w:r>
                    <w:t>матеріальне право ЄС</w:t>
                  </w:r>
                </w:p>
                <w:p w:rsidR="00894951" w:rsidRDefault="00894951" w:rsidP="00894951">
                  <w:pPr>
                    <w:pStyle w:val="a5"/>
                    <w:framePr w:hSpace="180" w:wrap="around" w:vAnchor="text" w:hAnchor="text" w:y="1"/>
                    <w:numPr>
                      <w:ilvl w:val="0"/>
                      <w:numId w:val="3"/>
                    </w:numPr>
                    <w:suppressOverlap/>
                  </w:pPr>
                  <w:r>
                    <w:t>Первинне</w:t>
                  </w:r>
                  <w:r>
                    <w:rPr>
                      <w:lang w:val="de-DE"/>
                    </w:rPr>
                    <w:t xml:space="preserve"> </w:t>
                  </w:r>
                  <w:r>
                    <w:t>та вторинне право ЄС</w:t>
                  </w:r>
                </w:p>
                <w:p w:rsidR="00894951" w:rsidRDefault="00894951" w:rsidP="00894951">
                  <w:pPr>
                    <w:pStyle w:val="a5"/>
                    <w:framePr w:hSpace="180" w:wrap="around" w:vAnchor="text" w:hAnchor="text" w:y="1"/>
                    <w:numPr>
                      <w:ilvl w:val="0"/>
                      <w:numId w:val="3"/>
                    </w:numPr>
                    <w:suppressOverlap/>
                  </w:pPr>
                  <w:r>
                    <w:t xml:space="preserve">Публічне </w:t>
                  </w:r>
                  <w:r>
                    <w:rPr>
                      <w:lang w:val="en-US"/>
                    </w:rPr>
                    <w:t>vs</w:t>
                  </w:r>
                  <w:r>
                    <w:t xml:space="preserve"> приватне право ЄС</w:t>
                  </w:r>
                </w:p>
                <w:p w:rsidR="00894951" w:rsidRDefault="00894951" w:rsidP="00894951">
                  <w:pPr>
                    <w:pStyle w:val="a5"/>
                    <w:framePr w:hSpace="180" w:wrap="around" w:vAnchor="text" w:hAnchor="text" w:y="1"/>
                    <w:numPr>
                      <w:ilvl w:val="0"/>
                      <w:numId w:val="3"/>
                    </w:numPr>
                    <w:suppressOverlap/>
                  </w:pPr>
                  <w:r>
                    <w:t>Міжнародні договори ЄС</w:t>
                  </w:r>
                </w:p>
                <w:p w:rsidR="00894951" w:rsidRDefault="00894951" w:rsidP="00894951">
                  <w:pPr>
                    <w:pStyle w:val="a5"/>
                    <w:framePr w:hSpace="180" w:wrap="around" w:vAnchor="text" w:hAnchor="text" w:y="1"/>
                    <w:numPr>
                      <w:ilvl w:val="0"/>
                      <w:numId w:val="3"/>
                    </w:numPr>
                    <w:suppressOverlap/>
                  </w:pPr>
                  <w:r>
                    <w:t>Органи ЄС – їхні повноваження  і механізми взаємодії.</w:t>
                  </w:r>
                </w:p>
                <w:p w:rsidR="00894951" w:rsidRDefault="00894951" w:rsidP="00894951">
                  <w:pPr>
                    <w:pStyle w:val="a5"/>
                    <w:framePr w:hSpace="180" w:wrap="around" w:vAnchor="text" w:hAnchor="text" w:y="1"/>
                    <w:numPr>
                      <w:ilvl w:val="0"/>
                      <w:numId w:val="3"/>
                    </w:numPr>
                    <w:suppressOverlap/>
                  </w:pPr>
                  <w:r>
                    <w:t>Право ЄС і національне право держав-членів ЄС – форми взаємодії</w:t>
                  </w:r>
                </w:p>
              </w:tc>
              <w:tc>
                <w:tcPr>
                  <w:tcW w:w="3510" w:type="dxa"/>
                </w:tcPr>
                <w:p w:rsidR="00894951" w:rsidRDefault="00894951" w:rsidP="00894951">
                  <w:pPr>
                    <w:pStyle w:val="a5"/>
                    <w:framePr w:hSpace="180" w:wrap="around" w:vAnchor="text" w:hAnchor="text" w:y="1"/>
                    <w:suppressOverlap/>
                  </w:pPr>
                </w:p>
              </w:tc>
            </w:tr>
            <w:tr w:rsidR="00894951" w:rsidRPr="008414D8" w:rsidTr="00894951">
              <w:tc>
                <w:tcPr>
                  <w:tcW w:w="2552" w:type="dxa"/>
                </w:tcPr>
                <w:p w:rsidR="00894951" w:rsidRDefault="00894951" w:rsidP="00894951">
                  <w:pPr>
                    <w:pStyle w:val="a5"/>
                    <w:framePr w:hSpace="180" w:wrap="around" w:vAnchor="text" w:hAnchor="text" w:y="1"/>
                    <w:suppressOverlap/>
                  </w:pPr>
                  <w:r>
                    <w:t>Митне право ЄС</w:t>
                  </w:r>
                </w:p>
              </w:tc>
              <w:tc>
                <w:tcPr>
                  <w:tcW w:w="3969" w:type="dxa"/>
                </w:tcPr>
                <w:p w:rsidR="00894951" w:rsidRDefault="00894951" w:rsidP="00894951">
                  <w:pPr>
                    <w:pStyle w:val="a5"/>
                    <w:framePr w:hSpace="180" w:wrap="around" w:vAnchor="text" w:hAnchor="text" w:y="1"/>
                    <w:numPr>
                      <w:ilvl w:val="0"/>
                      <w:numId w:val="4"/>
                    </w:numPr>
                    <w:suppressOverlap/>
                  </w:pPr>
                  <w:r>
                    <w:t>Поняття та форми економічної інтеграції. Правова природа ЗВТ і митних союзів</w:t>
                  </w:r>
                </w:p>
                <w:p w:rsidR="00894951" w:rsidRDefault="00894951" w:rsidP="00894951">
                  <w:pPr>
                    <w:pStyle w:val="a5"/>
                    <w:framePr w:hSpace="180" w:wrap="around" w:vAnchor="text" w:hAnchor="text" w:y="1"/>
                    <w:numPr>
                      <w:ilvl w:val="0"/>
                      <w:numId w:val="4"/>
                    </w:numPr>
                    <w:suppressOverlap/>
                  </w:pPr>
                  <w:r>
                    <w:t>Митний Союз ЄС – історія становлення і сучасність</w:t>
                  </w:r>
                </w:p>
                <w:p w:rsidR="00894951" w:rsidRDefault="00894951" w:rsidP="00894951">
                  <w:pPr>
                    <w:pStyle w:val="a5"/>
                    <w:framePr w:hSpace="180" w:wrap="around" w:vAnchor="text" w:hAnchor="text" w:y="1"/>
                    <w:numPr>
                      <w:ilvl w:val="0"/>
                      <w:numId w:val="4"/>
                    </w:numPr>
                    <w:suppressOverlap/>
                  </w:pPr>
                  <w:r>
                    <w:t>Митна номенклатура ЄС.</w:t>
                  </w:r>
                </w:p>
                <w:p w:rsidR="00894951" w:rsidRDefault="00894951" w:rsidP="00894951">
                  <w:pPr>
                    <w:pStyle w:val="a5"/>
                    <w:framePr w:hSpace="180" w:wrap="around" w:vAnchor="text" w:hAnchor="text" w:y="1"/>
                    <w:numPr>
                      <w:ilvl w:val="0"/>
                      <w:numId w:val="4"/>
                    </w:numPr>
                    <w:suppressOverlap/>
                  </w:pPr>
                  <w:r>
                    <w:t>Правові механізми співпраці України та ЄС у митних справах.</w:t>
                  </w:r>
                </w:p>
              </w:tc>
              <w:tc>
                <w:tcPr>
                  <w:tcW w:w="3510" w:type="dxa"/>
                </w:tcPr>
                <w:p w:rsidR="00894951" w:rsidRDefault="00894951" w:rsidP="00894951">
                  <w:pPr>
                    <w:pStyle w:val="a5"/>
                    <w:framePr w:hSpace="180" w:wrap="around" w:vAnchor="text" w:hAnchor="text" w:y="1"/>
                    <w:suppressOverlap/>
                  </w:pPr>
                </w:p>
              </w:tc>
            </w:tr>
            <w:tr w:rsidR="00894951" w:rsidTr="00894951">
              <w:tc>
                <w:tcPr>
                  <w:tcW w:w="2552" w:type="dxa"/>
                </w:tcPr>
                <w:p w:rsidR="00894951" w:rsidRDefault="00894951" w:rsidP="00894951">
                  <w:pPr>
                    <w:pStyle w:val="a5"/>
                    <w:framePr w:hSpace="180" w:wrap="around" w:vAnchor="text" w:hAnchor="text" w:y="1"/>
                    <w:suppressOverlap/>
                  </w:pPr>
                  <w:r>
                    <w:t>Право внутрішнього ринку ЄС – свобода руху товарів та послуг</w:t>
                  </w:r>
                </w:p>
                <w:p w:rsidR="00894951" w:rsidRDefault="00894951" w:rsidP="00894951">
                  <w:pPr>
                    <w:pStyle w:val="a5"/>
                    <w:framePr w:hSpace="180" w:wrap="around" w:vAnchor="text" w:hAnchor="text" w:y="1"/>
                    <w:suppressOverlap/>
                  </w:pPr>
                </w:p>
                <w:p w:rsidR="00894951" w:rsidRDefault="00894951" w:rsidP="00894951">
                  <w:pPr>
                    <w:pStyle w:val="a5"/>
                    <w:framePr w:hSpace="180" w:wrap="around" w:vAnchor="text" w:hAnchor="text" w:y="1"/>
                    <w:suppressOverlap/>
                    <w:rPr>
                      <w:i/>
                    </w:rPr>
                  </w:pPr>
                  <w:r w:rsidRPr="00D66FFC">
                    <w:rPr>
                      <w:i/>
                    </w:rPr>
                    <w:t>Модульний контроль 1.</w:t>
                  </w:r>
                </w:p>
                <w:p w:rsidR="00894951" w:rsidRDefault="00894951" w:rsidP="00894951">
                  <w:pPr>
                    <w:pStyle w:val="a5"/>
                    <w:framePr w:hSpace="180" w:wrap="around" w:vAnchor="text" w:hAnchor="text" w:y="1"/>
                    <w:suppressOverlap/>
                    <w:rPr>
                      <w:i/>
                    </w:rPr>
                  </w:pPr>
                </w:p>
                <w:p w:rsidR="00894951" w:rsidRDefault="00894951" w:rsidP="00894951">
                  <w:pPr>
                    <w:pStyle w:val="a5"/>
                    <w:framePr w:hSpace="180" w:wrap="around" w:vAnchor="text" w:hAnchor="text" w:y="1"/>
                    <w:suppressOverlap/>
                    <w:rPr>
                      <w:i/>
                    </w:rPr>
                  </w:pPr>
                </w:p>
                <w:p w:rsidR="00894951" w:rsidRPr="00D66FFC" w:rsidRDefault="00894951" w:rsidP="00894951">
                  <w:pPr>
                    <w:pStyle w:val="a5"/>
                    <w:framePr w:hSpace="180" w:wrap="around" w:vAnchor="text" w:hAnchor="text" w:y="1"/>
                    <w:suppressOverlap/>
                    <w:rPr>
                      <w:i/>
                    </w:rPr>
                  </w:pPr>
                  <w:r>
                    <w:rPr>
                      <w:i/>
                    </w:rPr>
                    <w:t xml:space="preserve">Формат – обґрунтування до 2-х сторінок тексту своєї позиції з приводу економічної доцільності повної лібералізації торгівлі у </w:t>
                  </w:r>
                  <w:r>
                    <w:rPr>
                      <w:i/>
                    </w:rPr>
                    <w:lastRenderedPageBreak/>
                    <w:t>ЄС</w:t>
                  </w:r>
                </w:p>
              </w:tc>
              <w:tc>
                <w:tcPr>
                  <w:tcW w:w="3969" w:type="dxa"/>
                </w:tcPr>
                <w:p w:rsidR="00894951" w:rsidRDefault="00894951" w:rsidP="00894951">
                  <w:pPr>
                    <w:pStyle w:val="a5"/>
                    <w:framePr w:hSpace="180" w:wrap="around" w:vAnchor="text" w:hAnchor="text" w:y="1"/>
                    <w:numPr>
                      <w:ilvl w:val="0"/>
                      <w:numId w:val="6"/>
                    </w:numPr>
                    <w:suppressOverlap/>
                  </w:pPr>
                  <w:r>
                    <w:lastRenderedPageBreak/>
                    <w:t>Поняття та загальні засади вільного руху товарів.</w:t>
                  </w:r>
                </w:p>
                <w:p w:rsidR="00894951" w:rsidRDefault="00894951" w:rsidP="00894951">
                  <w:pPr>
                    <w:pStyle w:val="a5"/>
                    <w:framePr w:hSpace="180" w:wrap="around" w:vAnchor="text" w:hAnchor="text" w:y="1"/>
                    <w:numPr>
                      <w:ilvl w:val="0"/>
                      <w:numId w:val="6"/>
                    </w:numPr>
                    <w:suppressOverlap/>
                  </w:pPr>
                  <w:r>
                    <w:t>Заборона кількісних обмежень у торгівлі в ЄС. Поняття «заходи еквівалентної дії як кількісні обмеження торгівлі».</w:t>
                  </w:r>
                </w:p>
                <w:p w:rsidR="00894951" w:rsidRDefault="00894951" w:rsidP="00894951">
                  <w:pPr>
                    <w:pStyle w:val="a5"/>
                    <w:framePr w:hSpace="180" w:wrap="around" w:vAnchor="text" w:hAnchor="text" w:y="1"/>
                    <w:numPr>
                      <w:ilvl w:val="0"/>
                      <w:numId w:val="6"/>
                    </w:numPr>
                    <w:suppressOverlap/>
                  </w:pPr>
                  <w:r>
                    <w:t>Винятки із свободи руху товарів.</w:t>
                  </w:r>
                </w:p>
                <w:p w:rsidR="00894951" w:rsidRDefault="00894951" w:rsidP="00894951">
                  <w:pPr>
                    <w:pStyle w:val="a5"/>
                    <w:framePr w:hSpace="180" w:wrap="around" w:vAnchor="text" w:hAnchor="text" w:y="1"/>
                    <w:numPr>
                      <w:ilvl w:val="0"/>
                      <w:numId w:val="6"/>
                    </w:numPr>
                    <w:suppressOverlap/>
                  </w:pPr>
                  <w:r>
                    <w:t>Свобода руху послуг в ЄС.</w:t>
                  </w:r>
                </w:p>
                <w:p w:rsidR="00894951" w:rsidRDefault="00894951" w:rsidP="00894951">
                  <w:pPr>
                    <w:pStyle w:val="a5"/>
                    <w:framePr w:hSpace="180" w:wrap="around" w:vAnchor="text" w:hAnchor="text" w:y="1"/>
                    <w:numPr>
                      <w:ilvl w:val="0"/>
                      <w:numId w:val="6"/>
                    </w:numPr>
                    <w:suppressOverlap/>
                  </w:pPr>
                  <w:r>
                    <w:t>Винятки із свободи руху послуг в ЄС.</w:t>
                  </w:r>
                </w:p>
                <w:p w:rsidR="00894951" w:rsidRDefault="00894951" w:rsidP="00894951">
                  <w:pPr>
                    <w:pStyle w:val="a5"/>
                    <w:framePr w:hSpace="180" w:wrap="around" w:vAnchor="text" w:hAnchor="text" w:y="1"/>
                    <w:numPr>
                      <w:ilvl w:val="0"/>
                      <w:numId w:val="6"/>
                    </w:numPr>
                    <w:suppressOverlap/>
                  </w:pPr>
                  <w:r>
                    <w:t>ЗВТ+ між Україною та ЄС: природа, основні засади та особливості</w:t>
                  </w:r>
                </w:p>
              </w:tc>
              <w:tc>
                <w:tcPr>
                  <w:tcW w:w="3510" w:type="dxa"/>
                </w:tcPr>
                <w:p w:rsidR="00894951" w:rsidRDefault="00894951" w:rsidP="00894951">
                  <w:pPr>
                    <w:pStyle w:val="a5"/>
                    <w:framePr w:hSpace="180" w:wrap="around" w:vAnchor="text" w:hAnchor="text" w:y="1"/>
                    <w:suppressOverlap/>
                  </w:pPr>
                  <w:r>
                    <w:t>На модульний контроль 1 виноситься одне питання:</w:t>
                  </w:r>
                </w:p>
                <w:p w:rsidR="00894951" w:rsidRDefault="00894951" w:rsidP="00894951">
                  <w:pPr>
                    <w:pStyle w:val="a5"/>
                    <w:framePr w:hSpace="180" w:wrap="around" w:vAnchor="text" w:hAnchor="text" w:y="1"/>
                    <w:suppressOverlap/>
                  </w:pPr>
                </w:p>
                <w:p w:rsidR="00894951" w:rsidRDefault="00894951" w:rsidP="00894951">
                  <w:pPr>
                    <w:pStyle w:val="a5"/>
                    <w:framePr w:hSpace="180" w:wrap="around" w:vAnchor="text" w:hAnchor="text" w:y="1"/>
                    <w:suppressOverlap/>
                    <w:rPr>
                      <w:i/>
                    </w:rPr>
                  </w:pPr>
                  <w:r w:rsidRPr="00D66FFC">
                    <w:rPr>
                      <w:i/>
                    </w:rPr>
                    <w:t>Чи є лібералізація торгівлі, так як вона передбачена в ЄС, вигідною з економічної точки зору? Обґрунтуйте свою позицію.</w:t>
                  </w:r>
                </w:p>
                <w:p w:rsidR="00894951" w:rsidRDefault="00894951" w:rsidP="00894951">
                  <w:pPr>
                    <w:pStyle w:val="a5"/>
                    <w:framePr w:hSpace="180" w:wrap="around" w:vAnchor="text" w:hAnchor="text" w:y="1"/>
                    <w:suppressOverlap/>
                    <w:rPr>
                      <w:i/>
                    </w:rPr>
                  </w:pPr>
                </w:p>
                <w:p w:rsidR="00894951" w:rsidRPr="00D66FFC" w:rsidRDefault="00894951" w:rsidP="00894951">
                  <w:pPr>
                    <w:pStyle w:val="a5"/>
                    <w:framePr w:hSpace="180" w:wrap="around" w:vAnchor="text" w:hAnchor="text" w:y="1"/>
                    <w:suppressOverlap/>
                    <w:rPr>
                      <w:i/>
                    </w:rPr>
                  </w:pPr>
                </w:p>
              </w:tc>
            </w:tr>
            <w:tr w:rsidR="00894951" w:rsidRPr="008414D8" w:rsidTr="00894951">
              <w:tc>
                <w:tcPr>
                  <w:tcW w:w="2552" w:type="dxa"/>
                </w:tcPr>
                <w:p w:rsidR="00894951" w:rsidRDefault="00894951" w:rsidP="00894951">
                  <w:pPr>
                    <w:pStyle w:val="a5"/>
                    <w:framePr w:hSpace="180" w:wrap="around" w:vAnchor="text" w:hAnchor="text" w:y="1"/>
                    <w:suppressOverlap/>
                  </w:pPr>
                  <w:r>
                    <w:lastRenderedPageBreak/>
                    <w:t>Право внутрішнього ринку ЄС – свобода руху осіб</w:t>
                  </w:r>
                </w:p>
              </w:tc>
              <w:tc>
                <w:tcPr>
                  <w:tcW w:w="3969" w:type="dxa"/>
                </w:tcPr>
                <w:p w:rsidR="00894951" w:rsidRDefault="00894951" w:rsidP="00894951">
                  <w:pPr>
                    <w:pStyle w:val="a5"/>
                    <w:framePr w:hSpace="180" w:wrap="around" w:vAnchor="text" w:hAnchor="text" w:y="1"/>
                    <w:numPr>
                      <w:ilvl w:val="0"/>
                      <w:numId w:val="5"/>
                    </w:numPr>
                    <w:suppressOverlap/>
                  </w:pPr>
                  <w:r>
                    <w:t>Свобода руху фізичних осіб.</w:t>
                  </w:r>
                </w:p>
                <w:p w:rsidR="00894951" w:rsidRDefault="00894951" w:rsidP="00894951">
                  <w:pPr>
                    <w:pStyle w:val="a5"/>
                    <w:framePr w:hSpace="180" w:wrap="around" w:vAnchor="text" w:hAnchor="text" w:y="1"/>
                    <w:numPr>
                      <w:ilvl w:val="0"/>
                      <w:numId w:val="5"/>
                    </w:numPr>
                    <w:suppressOverlap/>
                  </w:pPr>
                  <w:r>
                    <w:t>Свобода руху юридичних осіб.</w:t>
                  </w:r>
                </w:p>
                <w:p w:rsidR="00894951" w:rsidRDefault="00894951" w:rsidP="00894951">
                  <w:pPr>
                    <w:pStyle w:val="a5"/>
                    <w:framePr w:hSpace="180" w:wrap="around" w:vAnchor="text" w:hAnchor="text" w:y="1"/>
                    <w:numPr>
                      <w:ilvl w:val="0"/>
                      <w:numId w:val="5"/>
                    </w:numPr>
                    <w:suppressOverlap/>
                  </w:pPr>
                  <w:r>
                    <w:t>Винятки із свободи руху фізичних осіб.</w:t>
                  </w:r>
                </w:p>
                <w:p w:rsidR="00894951" w:rsidRDefault="00894951" w:rsidP="00894951">
                  <w:pPr>
                    <w:pStyle w:val="a5"/>
                    <w:framePr w:hSpace="180" w:wrap="around" w:vAnchor="text" w:hAnchor="text" w:y="1"/>
                    <w:numPr>
                      <w:ilvl w:val="0"/>
                      <w:numId w:val="5"/>
                    </w:numPr>
                    <w:suppressOverlap/>
                  </w:pPr>
                  <w:r>
                    <w:t>Винятки із свободи руху юридичних осіб.</w:t>
                  </w:r>
                </w:p>
                <w:p w:rsidR="00894951" w:rsidRDefault="00894951" w:rsidP="00894951">
                  <w:pPr>
                    <w:pStyle w:val="a5"/>
                    <w:framePr w:hSpace="180" w:wrap="around" w:vAnchor="text" w:hAnchor="text" w:y="1"/>
                    <w:numPr>
                      <w:ilvl w:val="0"/>
                      <w:numId w:val="5"/>
                    </w:numPr>
                    <w:suppressOverlap/>
                  </w:pPr>
                  <w:r>
                    <w:t>Правовий статус громадян третіх країн в ЄС</w:t>
                  </w:r>
                </w:p>
              </w:tc>
              <w:tc>
                <w:tcPr>
                  <w:tcW w:w="3510" w:type="dxa"/>
                </w:tcPr>
                <w:p w:rsidR="00894951" w:rsidRDefault="00894951" w:rsidP="00894951">
                  <w:pPr>
                    <w:pStyle w:val="a5"/>
                    <w:framePr w:hSpace="180" w:wrap="around" w:vAnchor="text" w:hAnchor="text" w:y="1"/>
                    <w:suppressOverlap/>
                  </w:pPr>
                </w:p>
              </w:tc>
            </w:tr>
            <w:tr w:rsidR="00894951" w:rsidRPr="008414D8" w:rsidTr="00894951">
              <w:tc>
                <w:tcPr>
                  <w:tcW w:w="2552" w:type="dxa"/>
                </w:tcPr>
                <w:p w:rsidR="00894951" w:rsidRDefault="00894951" w:rsidP="00894951">
                  <w:pPr>
                    <w:pStyle w:val="a5"/>
                    <w:framePr w:hSpace="180" w:wrap="around" w:vAnchor="text" w:hAnchor="text" w:y="1"/>
                    <w:suppressOverlap/>
                  </w:pPr>
                  <w:r>
                    <w:t>Право внутрішнього ринку ЄС – свобода руху капіталу та платежів</w:t>
                  </w:r>
                </w:p>
              </w:tc>
              <w:tc>
                <w:tcPr>
                  <w:tcW w:w="3969" w:type="dxa"/>
                </w:tcPr>
                <w:p w:rsidR="00894951" w:rsidRDefault="00894951" w:rsidP="00894951">
                  <w:pPr>
                    <w:pStyle w:val="a5"/>
                    <w:framePr w:hSpace="180" w:wrap="around" w:vAnchor="text" w:hAnchor="text" w:y="1"/>
                    <w:numPr>
                      <w:ilvl w:val="0"/>
                      <w:numId w:val="7"/>
                    </w:numPr>
                    <w:suppressOverlap/>
                  </w:pPr>
                  <w:r>
                    <w:t>Поняття свободи руху капіталу в праві ЄС</w:t>
                  </w:r>
                </w:p>
                <w:p w:rsidR="00894951" w:rsidRDefault="00894951" w:rsidP="00894951">
                  <w:pPr>
                    <w:pStyle w:val="a5"/>
                    <w:framePr w:hSpace="180" w:wrap="around" w:vAnchor="text" w:hAnchor="text" w:y="1"/>
                    <w:numPr>
                      <w:ilvl w:val="0"/>
                      <w:numId w:val="7"/>
                    </w:numPr>
                    <w:suppressOverlap/>
                  </w:pPr>
                  <w:r>
                    <w:t>Поняття свободи платежів у ЄС</w:t>
                  </w:r>
                </w:p>
                <w:p w:rsidR="00894951" w:rsidRDefault="00894951" w:rsidP="00894951">
                  <w:pPr>
                    <w:pStyle w:val="a5"/>
                    <w:framePr w:hSpace="180" w:wrap="around" w:vAnchor="text" w:hAnchor="text" w:y="1"/>
                    <w:numPr>
                      <w:ilvl w:val="0"/>
                      <w:numId w:val="7"/>
                    </w:numPr>
                    <w:suppressOverlap/>
                  </w:pPr>
                  <w:r>
                    <w:t>Правове регулювання інвестиційної діяльності в ЄС</w:t>
                  </w:r>
                </w:p>
                <w:p w:rsidR="00894951" w:rsidRDefault="00894951" w:rsidP="00894951">
                  <w:pPr>
                    <w:pStyle w:val="a5"/>
                    <w:framePr w:hSpace="180" w:wrap="around" w:vAnchor="text" w:hAnchor="text" w:y="1"/>
                    <w:numPr>
                      <w:ilvl w:val="0"/>
                      <w:numId w:val="7"/>
                    </w:numPr>
                    <w:suppressOverlap/>
                  </w:pPr>
                  <w:r>
                    <w:t>Основи захисту конкуренції в ЄС.</w:t>
                  </w:r>
                </w:p>
              </w:tc>
              <w:tc>
                <w:tcPr>
                  <w:tcW w:w="3510" w:type="dxa"/>
                </w:tcPr>
                <w:p w:rsidR="00894951" w:rsidRDefault="00894951" w:rsidP="00894951">
                  <w:pPr>
                    <w:pStyle w:val="a5"/>
                    <w:framePr w:hSpace="180" w:wrap="around" w:vAnchor="text" w:hAnchor="text" w:y="1"/>
                    <w:suppressOverlap/>
                  </w:pPr>
                </w:p>
              </w:tc>
            </w:tr>
            <w:tr w:rsidR="00894951" w:rsidTr="00894951">
              <w:tc>
                <w:tcPr>
                  <w:tcW w:w="2552" w:type="dxa"/>
                </w:tcPr>
                <w:p w:rsidR="00894951" w:rsidRDefault="00894951" w:rsidP="00894951">
                  <w:pPr>
                    <w:pStyle w:val="a5"/>
                    <w:framePr w:hSpace="180" w:wrap="around" w:vAnchor="text" w:hAnchor="text" w:y="1"/>
                    <w:suppressOverlap/>
                  </w:pPr>
                  <w:r>
                    <w:rPr>
                      <w:i/>
                    </w:rPr>
                    <w:t xml:space="preserve"> </w:t>
                  </w:r>
                  <w:r w:rsidRPr="00D66FFC">
                    <w:rPr>
                      <w:i/>
                    </w:rPr>
                    <w:t>Модульний контроль 2:</w:t>
                  </w:r>
                  <w:r>
                    <w:t xml:space="preserve"> Правові основи  співробітництва між Україною та ЄС </w:t>
                  </w:r>
                </w:p>
              </w:tc>
              <w:tc>
                <w:tcPr>
                  <w:tcW w:w="3969" w:type="dxa"/>
                </w:tcPr>
                <w:p w:rsidR="00894951" w:rsidRDefault="00894951" w:rsidP="00894951">
                  <w:pPr>
                    <w:pStyle w:val="a5"/>
                    <w:framePr w:hSpace="180" w:wrap="around" w:vAnchor="text" w:hAnchor="text" w:y="1"/>
                    <w:numPr>
                      <w:ilvl w:val="0"/>
                      <w:numId w:val="9"/>
                    </w:numPr>
                    <w:suppressOverlap/>
                  </w:pPr>
                  <w:r>
                    <w:t xml:space="preserve">Історичні аспекти співробітництва між Україною та ЄС </w:t>
                  </w:r>
                </w:p>
                <w:p w:rsidR="00894951" w:rsidRDefault="00894951" w:rsidP="00894951">
                  <w:pPr>
                    <w:pStyle w:val="a5"/>
                    <w:framePr w:hSpace="180" w:wrap="around" w:vAnchor="text" w:hAnchor="text" w:y="1"/>
                    <w:numPr>
                      <w:ilvl w:val="0"/>
                      <w:numId w:val="9"/>
                    </w:numPr>
                    <w:suppressOverlap/>
                  </w:pPr>
                  <w:r>
                    <w:t xml:space="preserve">Асоціація між Україною та ЄС – правова природа відносин асоціації і її особливості </w:t>
                  </w:r>
                </w:p>
                <w:p w:rsidR="00894951" w:rsidRDefault="00894951" w:rsidP="00894951">
                  <w:pPr>
                    <w:pStyle w:val="a5"/>
                    <w:framePr w:hSpace="180" w:wrap="around" w:vAnchor="text" w:hAnchor="text" w:y="1"/>
                    <w:numPr>
                      <w:ilvl w:val="0"/>
                      <w:numId w:val="9"/>
                    </w:numPr>
                    <w:suppressOverlap/>
                  </w:pPr>
                  <w:r>
                    <w:t xml:space="preserve">Інституційні засади асоціації між Україною та ЄС: система, природа та повноваження органів асоціації </w:t>
                  </w:r>
                </w:p>
                <w:p w:rsidR="00894951" w:rsidRDefault="00894951" w:rsidP="00894951">
                  <w:pPr>
                    <w:pStyle w:val="a5"/>
                    <w:framePr w:hSpace="180" w:wrap="around" w:vAnchor="text" w:hAnchor="text" w:y="1"/>
                    <w:numPr>
                      <w:ilvl w:val="0"/>
                      <w:numId w:val="9"/>
                    </w:numPr>
                    <w:suppressOverlap/>
                  </w:pPr>
                  <w:r>
                    <w:t>ЗВТ+ між Україною та ЄС: природа, основні засади та особливості</w:t>
                  </w:r>
                </w:p>
                <w:p w:rsidR="00894951" w:rsidRDefault="00894951" w:rsidP="00894951">
                  <w:pPr>
                    <w:pStyle w:val="a5"/>
                    <w:framePr w:hSpace="180" w:wrap="around" w:vAnchor="text" w:hAnchor="text" w:y="1"/>
                    <w:numPr>
                      <w:ilvl w:val="0"/>
                      <w:numId w:val="9"/>
                    </w:numPr>
                    <w:suppressOverlap/>
                  </w:pPr>
                  <w:r>
                    <w:t xml:space="preserve">Правовий статус громадян України в ЄС </w:t>
                  </w:r>
                </w:p>
                <w:p w:rsidR="00894951" w:rsidRDefault="00894951" w:rsidP="00894951">
                  <w:pPr>
                    <w:pStyle w:val="a5"/>
                    <w:framePr w:hSpace="180" w:wrap="around" w:vAnchor="text" w:hAnchor="text" w:y="1"/>
                    <w:numPr>
                      <w:ilvl w:val="0"/>
                      <w:numId w:val="9"/>
                    </w:numPr>
                    <w:suppressOverlap/>
                  </w:pPr>
                  <w:r>
                    <w:t xml:space="preserve">Секторальне співробітництво між Україною та ЄС </w:t>
                  </w:r>
                </w:p>
              </w:tc>
              <w:tc>
                <w:tcPr>
                  <w:tcW w:w="3510" w:type="dxa"/>
                </w:tcPr>
                <w:p w:rsidR="00894951" w:rsidRDefault="00894951" w:rsidP="00894951">
                  <w:pPr>
                    <w:pStyle w:val="a5"/>
                    <w:framePr w:hSpace="180" w:wrap="around" w:vAnchor="text" w:hAnchor="text" w:y="1"/>
                    <w:suppressOverlap/>
                  </w:pPr>
                  <w:r>
                    <w:t xml:space="preserve">Завдання: </w:t>
                  </w:r>
                </w:p>
                <w:p w:rsidR="00894951" w:rsidRDefault="00894951" w:rsidP="00894951">
                  <w:pPr>
                    <w:pStyle w:val="a5"/>
                    <w:framePr w:hSpace="180" w:wrap="around" w:vAnchor="text" w:hAnchor="text" w:y="1"/>
                    <w:numPr>
                      <w:ilvl w:val="0"/>
                      <w:numId w:val="10"/>
                    </w:numPr>
                    <w:suppressOverlap/>
                  </w:pPr>
                  <w:r>
                    <w:t xml:space="preserve">Розбити студентів на 6 груп відповідно до заданих тем. </w:t>
                  </w:r>
                </w:p>
                <w:p w:rsidR="00894951" w:rsidRDefault="00894951" w:rsidP="00894951">
                  <w:pPr>
                    <w:pStyle w:val="a5"/>
                    <w:framePr w:hSpace="180" w:wrap="around" w:vAnchor="text" w:hAnchor="text" w:y="1"/>
                    <w:numPr>
                      <w:ilvl w:val="0"/>
                      <w:numId w:val="10"/>
                    </w:numPr>
                    <w:suppressOverlap/>
                  </w:pPr>
                  <w:r>
                    <w:t xml:space="preserve">Кожна група повинна підготувати презентацію на свою тему на 20 хвилин з тим, щоб кожен студент у групі виступив. </w:t>
                  </w:r>
                </w:p>
                <w:p w:rsidR="00894951" w:rsidRDefault="00894951" w:rsidP="00894951">
                  <w:pPr>
                    <w:pStyle w:val="a5"/>
                    <w:framePr w:hSpace="180" w:wrap="around" w:vAnchor="text" w:hAnchor="text" w:y="1"/>
                    <w:numPr>
                      <w:ilvl w:val="0"/>
                      <w:numId w:val="10"/>
                    </w:numPr>
                    <w:suppressOverlap/>
                  </w:pPr>
                  <w:r>
                    <w:t>Оцінка формується групі і складається з:</w:t>
                  </w:r>
                </w:p>
                <w:p w:rsidR="00894951" w:rsidRDefault="00894951" w:rsidP="00894951">
                  <w:pPr>
                    <w:pStyle w:val="a5"/>
                    <w:framePr w:hSpace="180" w:wrap="around" w:vAnchor="text" w:hAnchor="text" w:y="1"/>
                    <w:numPr>
                      <w:ilvl w:val="0"/>
                      <w:numId w:val="11"/>
                    </w:numPr>
                    <w:suppressOverlap/>
                  </w:pPr>
                  <w:r>
                    <w:t xml:space="preserve">Оцінки презентації (5балів). </w:t>
                  </w:r>
                </w:p>
                <w:p w:rsidR="00894951" w:rsidRDefault="00894951" w:rsidP="00894951">
                  <w:pPr>
                    <w:pStyle w:val="a5"/>
                    <w:framePr w:hSpace="180" w:wrap="around" w:vAnchor="text" w:hAnchor="text" w:y="1"/>
                    <w:numPr>
                      <w:ilvl w:val="0"/>
                      <w:numId w:val="11"/>
                    </w:numPr>
                    <w:suppressOverlap/>
                  </w:pPr>
                  <w:r>
                    <w:t>Оцінки виступу групи (5 балів).</w:t>
                  </w:r>
                </w:p>
              </w:tc>
            </w:tr>
            <w:tr w:rsidR="00894951" w:rsidTr="001E1AA8">
              <w:tc>
                <w:tcPr>
                  <w:tcW w:w="10031" w:type="dxa"/>
                  <w:gridSpan w:val="3"/>
                </w:tcPr>
                <w:p w:rsidR="00894951" w:rsidRDefault="00894951" w:rsidP="00894951">
                  <w:pPr>
                    <w:pStyle w:val="a5"/>
                    <w:framePr w:hSpace="180" w:wrap="around" w:vAnchor="text" w:hAnchor="text" w:y="1"/>
                    <w:suppressOverlap/>
                  </w:pPr>
                  <w:r>
                    <w:tab/>
                  </w:r>
                  <w:r w:rsidRPr="007045EE">
                    <w:rPr>
                      <w:i/>
                    </w:rPr>
                    <w:t xml:space="preserve"> Рекомендована</w:t>
                  </w:r>
                  <w:r>
                    <w:t xml:space="preserve"> </w:t>
                  </w:r>
                  <w:r w:rsidRPr="007045EE">
                    <w:rPr>
                      <w:i/>
                    </w:rPr>
                    <w:t>література:</w:t>
                  </w:r>
                </w:p>
                <w:p w:rsidR="00894951" w:rsidRDefault="00894951" w:rsidP="00894951">
                  <w:pPr>
                    <w:framePr w:hSpace="180" w:wrap="around" w:vAnchor="text" w:hAnchor="text" w:y="1"/>
                    <w:numPr>
                      <w:ilvl w:val="0"/>
                      <w:numId w:val="12"/>
                    </w:numPr>
                    <w:suppressOverlap/>
                    <w:jc w:val="both"/>
                    <w:rPr>
                      <w:rFonts w:cs="Calibri"/>
                    </w:rPr>
                  </w:pPr>
                  <w:r>
                    <w:rPr>
                      <w:rFonts w:cs="Calibri"/>
                    </w:rPr>
                    <w:t>Consolidated versions of the Treaty on European Union and the Treaty on the Functioning of the European Union and the Charter of Fundamental Rights of the European Union, REV 7,  6655/7/08, Brussels, 12 November 2012, (OR. fr).</w:t>
                  </w:r>
                </w:p>
                <w:p w:rsidR="00894951" w:rsidRDefault="00894951" w:rsidP="00894951">
                  <w:pPr>
                    <w:framePr w:hSpace="180" w:wrap="around" w:vAnchor="text" w:hAnchor="text" w:y="1"/>
                    <w:numPr>
                      <w:ilvl w:val="0"/>
                      <w:numId w:val="12"/>
                    </w:numPr>
                    <w:suppressOverlap/>
                    <w:jc w:val="both"/>
                    <w:rPr>
                      <w:rFonts w:cs="Calibri"/>
                    </w:rPr>
                  </w:pPr>
                  <w:r>
                    <w:rPr>
                      <w:rFonts w:cs="Calibri"/>
                    </w:rPr>
                    <w:t>Association Agreement between the European Union and Its Member States of the one part and Ukraine of the other part, OJ (2014) L 161/3.</w:t>
                  </w:r>
                </w:p>
                <w:p w:rsidR="00894951" w:rsidRDefault="00894951" w:rsidP="00894951">
                  <w:pPr>
                    <w:pStyle w:val="a5"/>
                    <w:framePr w:hSpace="180" w:wrap="around" w:vAnchor="text" w:hAnchor="text" w:y="1"/>
                    <w:numPr>
                      <w:ilvl w:val="0"/>
                      <w:numId w:val="12"/>
                    </w:numPr>
                    <w:tabs>
                      <w:tab w:val="center" w:pos="4819"/>
                    </w:tabs>
                    <w:suppressOverlap/>
                  </w:pPr>
                  <w:r>
                    <w:t>Право Європейського Союзу (ред. В.І. Муравйов), - К.: «Юрінком Інтер», 2011.</w:t>
                  </w:r>
                </w:p>
                <w:p w:rsidR="00894951" w:rsidRDefault="00894951" w:rsidP="00894951">
                  <w:pPr>
                    <w:pStyle w:val="a5"/>
                    <w:framePr w:hSpace="180" w:wrap="around" w:vAnchor="text" w:hAnchor="text" w:y="1"/>
                    <w:numPr>
                      <w:ilvl w:val="0"/>
                      <w:numId w:val="12"/>
                    </w:numPr>
                    <w:tabs>
                      <w:tab w:val="center" w:pos="4819"/>
                    </w:tabs>
                    <w:suppressOverlap/>
                  </w:pPr>
                  <w:r>
                    <w:t>Право Європейського Союзу (ред. Р.А. Петров), - К.: «Істина», 2017.</w:t>
                  </w:r>
                </w:p>
                <w:p w:rsidR="00894951" w:rsidRDefault="00894951" w:rsidP="00894951">
                  <w:pPr>
                    <w:pStyle w:val="a5"/>
                    <w:framePr w:hSpace="180" w:wrap="around" w:vAnchor="text" w:hAnchor="text" w:y="1"/>
                    <w:numPr>
                      <w:ilvl w:val="0"/>
                      <w:numId w:val="12"/>
                    </w:numPr>
                    <w:tabs>
                      <w:tab w:val="center" w:pos="4819"/>
                    </w:tabs>
                    <w:suppressOverlap/>
                  </w:pPr>
                  <w:r w:rsidRPr="009E5352">
                    <w:rPr>
                      <w:lang w:val="en-US"/>
                    </w:rPr>
                    <w:t>Chalmers Damian, Gareth Davies, Monti Giorgio, European Union Law. Cases &amp;Materials, 3-rd edition.</w:t>
                  </w:r>
                </w:p>
                <w:p w:rsidR="00894951" w:rsidRDefault="00894951" w:rsidP="00894951">
                  <w:pPr>
                    <w:pStyle w:val="a5"/>
                    <w:framePr w:hSpace="180" w:wrap="around" w:vAnchor="text" w:hAnchor="text" w:y="1"/>
                    <w:numPr>
                      <w:ilvl w:val="0"/>
                      <w:numId w:val="12"/>
                    </w:numPr>
                    <w:tabs>
                      <w:tab w:val="center" w:pos="4819"/>
                    </w:tabs>
                    <w:suppressOverlap/>
                  </w:pPr>
                  <w:r w:rsidRPr="009E5352">
                    <w:rPr>
                      <w:rFonts w:ascii="Segoe UI" w:eastAsia="Times New Roman" w:hAnsi="Segoe UI" w:cs="Segoe UI"/>
                      <w:color w:val="000000"/>
                      <w:sz w:val="20"/>
                      <w:szCs w:val="20"/>
                      <w:lang w:val="en-US" w:eastAsia="uk-UA"/>
                    </w:rPr>
                    <w:t>Craig Paul, De Bùrca Gráinne, EU Law, Text, Cases and Materials, Oxford University Press: Oxford, 2003, 1242 p.</w:t>
                  </w:r>
                </w:p>
              </w:tc>
            </w:tr>
          </w:tbl>
          <w:p w:rsidR="00894951" w:rsidRPr="00EF50D0" w:rsidRDefault="00894951" w:rsidP="00894951"/>
          <w:p w:rsidR="00894951" w:rsidRPr="009E5352" w:rsidRDefault="00894951" w:rsidP="00894951">
            <w:pPr>
              <w:pStyle w:val="a5"/>
              <w:tabs>
                <w:tab w:val="center" w:pos="4819"/>
              </w:tabs>
            </w:pPr>
          </w:p>
          <w:p w:rsidR="009E5352" w:rsidRPr="009E5352" w:rsidRDefault="009E5352" w:rsidP="009E5352">
            <w:pPr>
              <w:pStyle w:val="a5"/>
              <w:tabs>
                <w:tab w:val="center" w:pos="4819"/>
              </w:tabs>
            </w:pPr>
          </w:p>
        </w:tc>
      </w:tr>
    </w:tbl>
    <w:p w:rsidR="003D6A3D" w:rsidRPr="00894951" w:rsidRDefault="003D6A3D" w:rsidP="009E5352">
      <w:pPr>
        <w:tabs>
          <w:tab w:val="left" w:pos="960"/>
        </w:tabs>
        <w:rPr>
          <w:b/>
          <w:bCs/>
          <w:lang w:val="en-US"/>
        </w:rPr>
      </w:pPr>
      <w:r>
        <w:rPr>
          <w:rFonts w:cs="Calibri"/>
          <w:szCs w:val="22"/>
        </w:rPr>
        <w:lastRenderedPageBreak/>
        <w:br w:type="textWrapping" w:clear="all"/>
      </w:r>
      <w:r>
        <w:rPr>
          <w:rFonts w:cs="Calibri"/>
          <w:szCs w:val="22"/>
        </w:rPr>
        <w:tab/>
      </w:r>
      <w:bookmarkStart w:id="3" w:name="Ucbeniki"/>
      <w:bookmarkEnd w:id="3"/>
    </w:p>
    <w:p w:rsidR="003D6A3D" w:rsidRPr="00894951" w:rsidRDefault="003D6A3D" w:rsidP="003D6A3D">
      <w:pPr>
        <w:rPr>
          <w:b/>
          <w:bCs/>
          <w:lang w:val="en-US"/>
        </w:rPr>
      </w:pPr>
    </w:p>
    <w:p w:rsidR="001E0224" w:rsidRPr="00EF50D0" w:rsidRDefault="001E0224" w:rsidP="0020787B"/>
    <w:p w:rsidR="0003012E" w:rsidRDefault="0003012E"/>
    <w:sectPr w:rsidR="0003012E" w:rsidSect="0003012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999" w:rsidRDefault="006B6999" w:rsidP="006D0888">
      <w:r>
        <w:separator/>
      </w:r>
    </w:p>
  </w:endnote>
  <w:endnote w:type="continuationSeparator" w:id="1">
    <w:p w:rsidR="006B6999" w:rsidRDefault="006B6999" w:rsidP="006D08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999" w:rsidRDefault="006B6999" w:rsidP="006D0888">
      <w:r>
        <w:separator/>
      </w:r>
    </w:p>
  </w:footnote>
  <w:footnote w:type="continuationSeparator" w:id="1">
    <w:p w:rsidR="006B6999" w:rsidRDefault="006B6999" w:rsidP="006D0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B73"/>
    <w:multiLevelType w:val="hybridMultilevel"/>
    <w:tmpl w:val="81BA316E"/>
    <w:lvl w:ilvl="0" w:tplc="7A7A2270">
      <w:start w:val="1"/>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D3A29FB"/>
    <w:multiLevelType w:val="hybridMultilevel"/>
    <w:tmpl w:val="C7EAF412"/>
    <w:lvl w:ilvl="0" w:tplc="D5BC2A2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A139E5"/>
    <w:multiLevelType w:val="hybridMultilevel"/>
    <w:tmpl w:val="D152C0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7F112B"/>
    <w:multiLevelType w:val="hybridMultilevel"/>
    <w:tmpl w:val="B5005D6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1BB7030B"/>
    <w:multiLevelType w:val="hybridMultilevel"/>
    <w:tmpl w:val="9A9E4E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5FF6E59"/>
    <w:multiLevelType w:val="hybridMultilevel"/>
    <w:tmpl w:val="8E26F2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49678D"/>
    <w:multiLevelType w:val="hybridMultilevel"/>
    <w:tmpl w:val="D2AA6E4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32F353A4"/>
    <w:multiLevelType w:val="hybridMultilevel"/>
    <w:tmpl w:val="C49406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9A5EC7"/>
    <w:multiLevelType w:val="hybridMultilevel"/>
    <w:tmpl w:val="11CE73F6"/>
    <w:lvl w:ilvl="0" w:tplc="419C4DC0">
      <w:start w:val="200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D315471"/>
    <w:multiLevelType w:val="hybridMultilevel"/>
    <w:tmpl w:val="AFDAADD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3E52228B"/>
    <w:multiLevelType w:val="hybridMultilevel"/>
    <w:tmpl w:val="2C6C9FC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FC226C7"/>
    <w:multiLevelType w:val="hybridMultilevel"/>
    <w:tmpl w:val="022A68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21E389F"/>
    <w:multiLevelType w:val="hybridMultilevel"/>
    <w:tmpl w:val="CEDEA7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7AB20E9"/>
    <w:multiLevelType w:val="hybridMultilevel"/>
    <w:tmpl w:val="A75A960C"/>
    <w:lvl w:ilvl="0" w:tplc="86328D7A">
      <w:start w:val="1"/>
      <w:numFmt w:val="bullet"/>
      <w:pStyle w:val="alineja"/>
      <w:lvlText w:val=""/>
      <w:lvlJc w:val="left"/>
      <w:pPr>
        <w:tabs>
          <w:tab w:val="num" w:pos="720"/>
        </w:tabs>
        <w:ind w:left="720" w:hanging="360"/>
      </w:pPr>
      <w:rPr>
        <w:rFonts w:ascii="Symbol" w:hAnsi="Symbol" w:hint="default"/>
      </w:rPr>
    </w:lvl>
    <w:lvl w:ilvl="1" w:tplc="04240003">
      <w:start w:val="1"/>
      <w:numFmt w:val="bullet"/>
      <w:lvlText w:val=""/>
      <w:lvlJc w:val="left"/>
      <w:pPr>
        <w:tabs>
          <w:tab w:val="num" w:pos="1440"/>
        </w:tabs>
        <w:ind w:left="1440" w:hanging="360"/>
      </w:pPr>
      <w:rPr>
        <w:rFonts w:ascii="Symbol" w:hAnsi="Symbo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nsid w:val="4C1F73DB"/>
    <w:multiLevelType w:val="hybridMultilevel"/>
    <w:tmpl w:val="D5FA8B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DBF62FA"/>
    <w:multiLevelType w:val="hybridMultilevel"/>
    <w:tmpl w:val="347CF6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15D29DE"/>
    <w:multiLevelType w:val="hybridMultilevel"/>
    <w:tmpl w:val="25464A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2447027"/>
    <w:multiLevelType w:val="hybridMultilevel"/>
    <w:tmpl w:val="FFE496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64C07E1"/>
    <w:multiLevelType w:val="multilevel"/>
    <w:tmpl w:val="F070B5F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4"/>
  </w:num>
  <w:num w:numId="3">
    <w:abstractNumId w:val="11"/>
  </w:num>
  <w:num w:numId="4">
    <w:abstractNumId w:val="2"/>
  </w:num>
  <w:num w:numId="5">
    <w:abstractNumId w:val="17"/>
  </w:num>
  <w:num w:numId="6">
    <w:abstractNumId w:val="5"/>
  </w:num>
  <w:num w:numId="7">
    <w:abstractNumId w:val="14"/>
  </w:num>
  <w:num w:numId="8">
    <w:abstractNumId w:val="15"/>
  </w:num>
  <w:num w:numId="9">
    <w:abstractNumId w:val="16"/>
  </w:num>
  <w:num w:numId="10">
    <w:abstractNumId w:val="10"/>
  </w:num>
  <w:num w:numId="11">
    <w:abstractNumId w:val="0"/>
  </w:num>
  <w:num w:numId="12">
    <w:abstractNumId w:val="12"/>
  </w:num>
  <w:num w:numId="13">
    <w:abstractNumId w:val="8"/>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20787B"/>
    <w:rsid w:val="0003012E"/>
    <w:rsid w:val="0003358D"/>
    <w:rsid w:val="00061322"/>
    <w:rsid w:val="00094030"/>
    <w:rsid w:val="000D6E36"/>
    <w:rsid w:val="00147342"/>
    <w:rsid w:val="001E0224"/>
    <w:rsid w:val="0020787B"/>
    <w:rsid w:val="00344A28"/>
    <w:rsid w:val="003746F8"/>
    <w:rsid w:val="003D6A3D"/>
    <w:rsid w:val="00404782"/>
    <w:rsid w:val="004509EA"/>
    <w:rsid w:val="00451C51"/>
    <w:rsid w:val="004C6FDB"/>
    <w:rsid w:val="00556E98"/>
    <w:rsid w:val="005D01FA"/>
    <w:rsid w:val="006207D5"/>
    <w:rsid w:val="00667B4D"/>
    <w:rsid w:val="006B6999"/>
    <w:rsid w:val="006C5326"/>
    <w:rsid w:val="006D0888"/>
    <w:rsid w:val="006D59AA"/>
    <w:rsid w:val="007045EE"/>
    <w:rsid w:val="008414D8"/>
    <w:rsid w:val="00894951"/>
    <w:rsid w:val="008F024E"/>
    <w:rsid w:val="0095116F"/>
    <w:rsid w:val="009754AF"/>
    <w:rsid w:val="009855C9"/>
    <w:rsid w:val="009E5352"/>
    <w:rsid w:val="00AA6CC6"/>
    <w:rsid w:val="00B426D1"/>
    <w:rsid w:val="00BA6A44"/>
    <w:rsid w:val="00C22A89"/>
    <w:rsid w:val="00D016EB"/>
    <w:rsid w:val="00D53C1E"/>
    <w:rsid w:val="00D66FFC"/>
    <w:rsid w:val="00D75808"/>
    <w:rsid w:val="00D84DA7"/>
    <w:rsid w:val="00DB5E01"/>
    <w:rsid w:val="00E77E01"/>
    <w:rsid w:val="00E91D86"/>
    <w:rsid w:val="00EA53A7"/>
    <w:rsid w:val="00EB3214"/>
    <w:rsid w:val="00F317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A3D"/>
    <w:pPr>
      <w:spacing w:after="0" w:line="240" w:lineRule="auto"/>
    </w:pPr>
    <w:rPr>
      <w:rFonts w:ascii="Calibri" w:eastAsia="Calibri" w:hAnsi="Calibri" w:cs="Times New Roman"/>
      <w:sz w:val="24"/>
      <w:szCs w:val="24"/>
      <w:lang w:val="en-GB" w:eastAsia="sl-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787B"/>
    <w:pPr>
      <w:ind w:left="720"/>
      <w:contextualSpacing/>
    </w:pPr>
  </w:style>
  <w:style w:type="paragraph" w:styleId="a5">
    <w:name w:val="No Spacing"/>
    <w:uiPriority w:val="1"/>
    <w:qFormat/>
    <w:rsid w:val="0020787B"/>
    <w:pPr>
      <w:spacing w:after="0" w:line="240" w:lineRule="auto"/>
    </w:pPr>
  </w:style>
  <w:style w:type="paragraph" w:styleId="a6">
    <w:name w:val="header"/>
    <w:basedOn w:val="a"/>
    <w:link w:val="a7"/>
    <w:uiPriority w:val="99"/>
    <w:semiHidden/>
    <w:unhideWhenUsed/>
    <w:rsid w:val="006D0888"/>
    <w:pPr>
      <w:tabs>
        <w:tab w:val="center" w:pos="4819"/>
        <w:tab w:val="right" w:pos="9639"/>
      </w:tabs>
    </w:pPr>
  </w:style>
  <w:style w:type="character" w:customStyle="1" w:styleId="a7">
    <w:name w:val="Верхний колонтитул Знак"/>
    <w:basedOn w:val="a0"/>
    <w:link w:val="a6"/>
    <w:uiPriority w:val="99"/>
    <w:semiHidden/>
    <w:rsid w:val="006D0888"/>
  </w:style>
  <w:style w:type="paragraph" w:styleId="a8">
    <w:name w:val="footer"/>
    <w:basedOn w:val="a"/>
    <w:link w:val="a9"/>
    <w:uiPriority w:val="99"/>
    <w:semiHidden/>
    <w:unhideWhenUsed/>
    <w:rsid w:val="006D0888"/>
    <w:pPr>
      <w:tabs>
        <w:tab w:val="center" w:pos="4819"/>
        <w:tab w:val="right" w:pos="9639"/>
      </w:tabs>
    </w:pPr>
  </w:style>
  <w:style w:type="character" w:customStyle="1" w:styleId="a9">
    <w:name w:val="Нижний колонтитул Знак"/>
    <w:basedOn w:val="a0"/>
    <w:link w:val="a8"/>
    <w:uiPriority w:val="99"/>
    <w:semiHidden/>
    <w:rsid w:val="006D0888"/>
  </w:style>
  <w:style w:type="paragraph" w:customStyle="1" w:styleId="alineja">
    <w:name w:val="alineja"/>
    <w:basedOn w:val="a"/>
    <w:rsid w:val="003D6A3D"/>
    <w:pPr>
      <w:numPr>
        <w:numId w:val="14"/>
      </w:numPr>
    </w:pPr>
    <w:rPr>
      <w:rFonts w:ascii="Arial" w:eastAsia="Times New Roman" w:hAnsi="Arial"/>
      <w:sz w:val="20"/>
      <w:szCs w:val="20"/>
      <w:lang w:eastAsia="en-US"/>
    </w:rPr>
  </w:style>
  <w:style w:type="character" w:customStyle="1" w:styleId="apple-converted-space">
    <w:name w:val="apple-converted-space"/>
    <w:basedOn w:val="a0"/>
    <w:rsid w:val="003D6A3D"/>
  </w:style>
  <w:style w:type="character" w:styleId="aa">
    <w:name w:val="Strong"/>
    <w:basedOn w:val="a0"/>
    <w:qFormat/>
    <w:rsid w:val="003D6A3D"/>
    <w:rPr>
      <w:b/>
      <w:bCs/>
    </w:rPr>
  </w:style>
  <w:style w:type="character" w:styleId="ab">
    <w:name w:val="Emphasis"/>
    <w:basedOn w:val="a0"/>
    <w:uiPriority w:val="20"/>
    <w:qFormat/>
    <w:rsid w:val="003D6A3D"/>
    <w:rPr>
      <w:i/>
      <w:iCs/>
    </w:rPr>
  </w:style>
</w:styles>
</file>

<file path=word/webSettings.xml><?xml version="1.0" encoding="utf-8"?>
<w:webSettings xmlns:r="http://schemas.openxmlformats.org/officeDocument/2006/relationships" xmlns:w="http://schemas.openxmlformats.org/wordprocessingml/2006/main">
  <w:divs>
    <w:div w:id="605236556">
      <w:bodyDiv w:val="1"/>
      <w:marLeft w:val="0"/>
      <w:marRight w:val="0"/>
      <w:marTop w:val="0"/>
      <w:marBottom w:val="0"/>
      <w:divBdr>
        <w:top w:val="none" w:sz="0" w:space="0" w:color="auto"/>
        <w:left w:val="none" w:sz="0" w:space="0" w:color="auto"/>
        <w:bottom w:val="none" w:sz="0" w:space="0" w:color="auto"/>
        <w:right w:val="none" w:sz="0" w:space="0" w:color="auto"/>
      </w:divBdr>
    </w:div>
    <w:div w:id="18641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4084</Words>
  <Characters>2329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Holovko-Havrysheva</dc:creator>
  <cp:lastModifiedBy>ivan</cp:lastModifiedBy>
  <cp:revision>39</cp:revision>
  <dcterms:created xsi:type="dcterms:W3CDTF">2017-09-06T10:13:00Z</dcterms:created>
  <dcterms:modified xsi:type="dcterms:W3CDTF">2017-09-20T07:20:00Z</dcterms:modified>
</cp:coreProperties>
</file>