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10116" w:type="dxa"/>
        <w:tblLayout w:type="fixed"/>
        <w:tblCellMar>
          <w:left w:w="56" w:type="dxa"/>
          <w:right w:w="56" w:type="dxa"/>
        </w:tblCellMar>
        <w:tblLook w:val="00A0"/>
      </w:tblPr>
      <w:tblGrid>
        <w:gridCol w:w="1408"/>
        <w:gridCol w:w="231"/>
        <w:gridCol w:w="542"/>
        <w:gridCol w:w="638"/>
        <w:gridCol w:w="487"/>
        <w:gridCol w:w="575"/>
        <w:gridCol w:w="356"/>
        <w:gridCol w:w="680"/>
        <w:gridCol w:w="738"/>
        <w:gridCol w:w="1201"/>
        <w:gridCol w:w="41"/>
        <w:gridCol w:w="1368"/>
        <w:gridCol w:w="1426"/>
        <w:gridCol w:w="425"/>
      </w:tblGrid>
      <w:tr w:rsidR="006406F4" w:rsidTr="006406F4">
        <w:trPr>
          <w:gridAfter w:val="1"/>
          <w:wAfter w:w="425" w:type="dxa"/>
        </w:trPr>
        <w:tc>
          <w:tcPr>
            <w:tcW w:w="9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eastAsia="sl-SI"/>
              </w:rPr>
            </w:pPr>
            <w:r>
              <w:rPr>
                <w:rFonts w:cs="Calibri"/>
                <w:b/>
              </w:rPr>
              <w:t>ПРОГРАМА КУРСУ</w:t>
            </w:r>
          </w:p>
        </w:tc>
      </w:tr>
      <w:tr w:rsidR="006406F4" w:rsidTr="006406F4">
        <w:trPr>
          <w:gridAfter w:val="1"/>
          <w:wAfter w:w="425" w:type="dxa"/>
        </w:trPr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Назва дисципліни: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F4" w:rsidRPr="006406F4" w:rsidRDefault="006406F4" w:rsidP="006406F4">
            <w:pPr>
              <w:spacing w:after="0" w:line="240" w:lineRule="auto"/>
              <w:jc w:val="center"/>
              <w:rPr>
                <w:b/>
              </w:rPr>
            </w:pPr>
            <w:bookmarkStart w:id="0" w:name="APredmet"/>
            <w:bookmarkEnd w:id="0"/>
            <w:r w:rsidRPr="007F6C81">
              <w:rPr>
                <w:b/>
              </w:rPr>
              <w:t>ЄВРОПЕЙСЬКЕ БІЗНЕС-ПРАВО</w:t>
            </w:r>
          </w:p>
        </w:tc>
      </w:tr>
      <w:tr w:rsidR="006406F4" w:rsidTr="006406F4">
        <w:trPr>
          <w:gridAfter w:val="1"/>
          <w:wAfter w:w="425" w:type="dxa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lang w:eastAsia="sl-SI"/>
              </w:rPr>
            </w:pPr>
            <w:r>
              <w:rPr>
                <w:rFonts w:cs="Calibri"/>
                <w:b/>
              </w:rPr>
              <w:t>Навчальна програма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P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eastAsia="sl-SI"/>
              </w:rPr>
            </w:pPr>
            <w:r>
              <w:rPr>
                <w:rFonts w:cs="Calibri"/>
                <w:b/>
              </w:rPr>
              <w:t>Спеціалізація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proofErr w:type="spellStart"/>
            <w:r>
              <w:rPr>
                <w:rFonts w:cs="Calibri"/>
                <w:b/>
              </w:rPr>
              <w:t>Академіч-ний</w:t>
            </w:r>
            <w:proofErr w:type="spellEnd"/>
            <w:r>
              <w:rPr>
                <w:rFonts w:cs="Calibri"/>
                <w:b/>
              </w:rPr>
              <w:t xml:space="preserve"> рік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Семестр</w:t>
            </w:r>
          </w:p>
        </w:tc>
      </w:tr>
      <w:tr w:rsidR="006406F4" w:rsidTr="006406F4">
        <w:trPr>
          <w:gridAfter w:val="1"/>
          <w:wAfter w:w="425" w:type="dxa"/>
          <w:trHeight w:val="318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ВB.L </w:t>
            </w:r>
            <w:proofErr w:type="spellStart"/>
            <w:r>
              <w:rPr>
                <w:rFonts w:cs="Calibri"/>
                <w:b/>
                <w:bCs/>
              </w:rPr>
              <w:t>in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International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Law</w:t>
            </w:r>
            <w:proofErr w:type="spellEnd"/>
            <w:r>
              <w:rPr>
                <w:rFonts w:cs="Calibri"/>
                <w:b/>
                <w:bCs/>
              </w:rPr>
              <w:t xml:space="preserve">, </w:t>
            </w:r>
          </w:p>
          <w:p w:rsidR="006406F4" w:rsidRP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US" w:eastAsia="sl-SI"/>
              </w:rPr>
            </w:pPr>
            <w:r>
              <w:rPr>
                <w:rFonts w:cs="Calibri"/>
                <w:b/>
                <w:bCs/>
              </w:rPr>
              <w:t xml:space="preserve">М.А. </w:t>
            </w:r>
            <w:r>
              <w:rPr>
                <w:rFonts w:cs="Calibri"/>
                <w:b/>
                <w:bCs/>
                <w:lang w:val="en-US"/>
              </w:rPr>
              <w:t xml:space="preserve">in International Relations  </w:t>
            </w:r>
          </w:p>
        </w:tc>
        <w:tc>
          <w:tcPr>
            <w:tcW w:w="3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  <w:proofErr w:type="spellStart"/>
            <w:r>
              <w:rPr>
                <w:rFonts w:cs="Calibri"/>
                <w:b/>
                <w:bCs/>
              </w:rPr>
              <w:t>European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Integration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 w:eastAsia="sl-SI"/>
              </w:rPr>
            </w:pPr>
            <w:r>
              <w:rPr>
                <w:rFonts w:cs="Arial"/>
                <w:b/>
                <w:lang w:val="en-US"/>
              </w:rPr>
              <w:t>V</w:t>
            </w:r>
          </w:p>
        </w:tc>
      </w:tr>
      <w:tr w:rsidR="006406F4" w:rsidTr="006406F4">
        <w:trPr>
          <w:gridAfter w:val="1"/>
          <w:wAfter w:w="425" w:type="dxa"/>
          <w:trHeight w:val="103"/>
        </w:trPr>
        <w:tc>
          <w:tcPr>
            <w:tcW w:w="9691" w:type="dxa"/>
            <w:gridSpan w:val="13"/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</w:p>
        </w:tc>
      </w:tr>
      <w:tr w:rsidR="006406F4" w:rsidTr="006406F4">
        <w:trPr>
          <w:gridAfter w:val="4"/>
          <w:wAfter w:w="3260" w:type="dxa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Лекції (години)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eastAsia="sl-SI"/>
              </w:rPr>
            </w:pPr>
            <w:r>
              <w:rPr>
                <w:rFonts w:cs="Calibri"/>
                <w:b/>
              </w:rPr>
              <w:t>Семінари</w:t>
            </w:r>
          </w:p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(години)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proofErr w:type="spellStart"/>
            <w:r>
              <w:rPr>
                <w:rFonts w:cs="Calibri"/>
                <w:b/>
              </w:rPr>
              <w:t>Tutorial</w:t>
            </w:r>
            <w:proofErr w:type="spellEnd"/>
          </w:p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(години)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 xml:space="preserve">Самостійна робота (години)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ECTS</w:t>
            </w:r>
          </w:p>
        </w:tc>
      </w:tr>
      <w:tr w:rsidR="006406F4" w:rsidTr="006406F4">
        <w:trPr>
          <w:gridAfter w:val="4"/>
          <w:wAfter w:w="3260" w:type="dxa"/>
          <w:trHeight w:val="31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F4" w:rsidRDefault="006406F4" w:rsidP="006406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</w:p>
        </w:tc>
      </w:tr>
      <w:tr w:rsidR="006406F4" w:rsidTr="006406F4">
        <w:trPr>
          <w:gridAfter w:val="1"/>
          <w:wAfter w:w="425" w:type="dxa"/>
        </w:trPr>
        <w:tc>
          <w:tcPr>
            <w:tcW w:w="96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lang w:val="en-GB" w:eastAsia="sl-SI"/>
              </w:rPr>
            </w:pPr>
          </w:p>
        </w:tc>
      </w:tr>
      <w:tr w:rsidR="006406F4" w:rsidTr="006406F4">
        <w:trPr>
          <w:gridAfter w:val="1"/>
          <w:wAfter w:w="425" w:type="dxa"/>
        </w:trPr>
        <w:tc>
          <w:tcPr>
            <w:tcW w:w="4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 xml:space="preserve">Викладач (і) </w:t>
            </w:r>
          </w:p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sl-SI"/>
              </w:rPr>
            </w:pPr>
            <w:bookmarkStart w:id="1" w:name="Predavatelj"/>
            <w:bookmarkEnd w:id="1"/>
            <w:proofErr w:type="spellStart"/>
            <w:r>
              <w:rPr>
                <w:rFonts w:cs="Calibri"/>
                <w:b/>
              </w:rPr>
              <w:t>к.ю.н</w:t>
            </w:r>
            <w:proofErr w:type="spellEnd"/>
            <w:r>
              <w:rPr>
                <w:rFonts w:cs="Calibri"/>
                <w:b/>
              </w:rPr>
              <w:t xml:space="preserve">., </w:t>
            </w:r>
            <w:r>
              <w:rPr>
                <w:rFonts w:cs="Calibri"/>
                <w:b/>
              </w:rPr>
              <w:pgNum/>
            </w:r>
            <w:r w:rsidR="00BD5A8E">
              <w:rPr>
                <w:rFonts w:cs="Calibri"/>
                <w:b/>
              </w:rPr>
              <w:t>доц</w:t>
            </w:r>
            <w:r>
              <w:rPr>
                <w:rFonts w:cs="Calibri"/>
                <w:b/>
              </w:rPr>
              <w:t xml:space="preserve">. О. </w:t>
            </w:r>
            <w:proofErr w:type="spellStart"/>
            <w:r>
              <w:rPr>
                <w:rFonts w:cs="Calibri"/>
                <w:b/>
              </w:rPr>
              <w:t>Головко-Гавришева</w:t>
            </w:r>
            <w:proofErr w:type="spellEnd"/>
          </w:p>
        </w:tc>
      </w:tr>
      <w:tr w:rsidR="006406F4" w:rsidTr="006406F4">
        <w:trPr>
          <w:gridAfter w:val="1"/>
          <w:wAfter w:w="425" w:type="dxa"/>
          <w:trHeight w:val="182"/>
        </w:trPr>
        <w:tc>
          <w:tcPr>
            <w:tcW w:w="4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Асистент(и)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sl-SI"/>
              </w:rPr>
            </w:pPr>
          </w:p>
        </w:tc>
      </w:tr>
      <w:tr w:rsidR="006406F4" w:rsidTr="006406F4">
        <w:trPr>
          <w:gridAfter w:val="1"/>
          <w:wAfter w:w="425" w:type="dxa"/>
        </w:trPr>
        <w:tc>
          <w:tcPr>
            <w:tcW w:w="9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F4" w:rsidRDefault="006406F4" w:rsidP="006406F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lang w:eastAsia="sl-SI"/>
              </w:rPr>
            </w:pPr>
          </w:p>
        </w:tc>
      </w:tr>
      <w:tr w:rsidR="006406F4" w:rsidTr="006406F4">
        <w:trPr>
          <w:gridAfter w:val="1"/>
          <w:wAfter w:w="425" w:type="dxa"/>
        </w:trPr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sl-SI"/>
              </w:rPr>
            </w:pPr>
            <w:r>
              <w:rPr>
                <w:rFonts w:cs="Calibri"/>
                <w:b/>
              </w:rPr>
              <w:t>Мова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F4" w:rsidRDefault="006406F4" w:rsidP="006406F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F4" w:rsidRDefault="006406F4" w:rsidP="006406F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lang w:eastAsia="sl-SI"/>
              </w:rPr>
            </w:pPr>
            <w:bookmarkStart w:id="2" w:name="Jezik"/>
            <w:bookmarkEnd w:id="2"/>
            <w:r>
              <w:rPr>
                <w:rFonts w:cs="Calibri"/>
                <w:b/>
                <w:bCs/>
              </w:rPr>
              <w:t>Українська</w:t>
            </w:r>
          </w:p>
        </w:tc>
      </w:tr>
      <w:tr w:rsidR="006406F4" w:rsidTr="006406F4">
        <w:trPr>
          <w:gridAfter w:val="12"/>
          <w:wAfter w:w="8477" w:type="dxa"/>
          <w:trHeight w:val="537"/>
        </w:trPr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sl-SI"/>
              </w:rPr>
            </w:pPr>
          </w:p>
        </w:tc>
      </w:tr>
      <w:tr w:rsidR="006406F4" w:rsidTr="006406F4">
        <w:trPr>
          <w:trHeight w:val="137"/>
        </w:trPr>
        <w:tc>
          <w:tcPr>
            <w:tcW w:w="10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6F4" w:rsidRP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eastAsia="sl-SI"/>
              </w:rPr>
            </w:pPr>
            <w:r>
              <w:rPr>
                <w:rFonts w:ascii="Calibri" w:eastAsia="Calibri" w:hAnsi="Calibri" w:cs="Calibri"/>
                <w:b/>
                <w:sz w:val="24"/>
                <w:lang w:eastAsia="sl-SI"/>
              </w:rPr>
              <w:t xml:space="preserve"> </w:t>
            </w:r>
          </w:p>
          <w:p w:rsidR="006406F4" w:rsidRDefault="006406F4" w:rsidP="006406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lang w:val="en-GB" w:eastAsia="sl-SI"/>
              </w:rPr>
            </w:pPr>
            <w:r>
              <w:rPr>
                <w:rFonts w:cs="Calibri"/>
                <w:b/>
              </w:rPr>
              <w:t>Анотація:</w:t>
            </w:r>
          </w:p>
        </w:tc>
      </w:tr>
      <w:tr w:rsidR="006406F4" w:rsidTr="006406F4">
        <w:trPr>
          <w:trHeight w:val="1186"/>
        </w:trPr>
        <w:tc>
          <w:tcPr>
            <w:tcW w:w="10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F4" w:rsidRPr="0030529C" w:rsidRDefault="006406F4" w:rsidP="0034568D">
            <w:pPr>
              <w:pStyle w:val="a5"/>
              <w:jc w:val="both"/>
            </w:pPr>
            <w:r>
              <w:t xml:space="preserve">Невід’ємним елементом Угоди про асоціацію між Україною та ЄС є формування </w:t>
            </w:r>
            <w:proofErr w:type="spellStart"/>
            <w:r>
              <w:t>всеохопної</w:t>
            </w:r>
            <w:proofErr w:type="spellEnd"/>
            <w:r>
              <w:t xml:space="preserve"> зони вільної торгівлі формату ЗВТ+, елементи якої почали діяти ще до повного набуття чинності цією угодою.  Лібералізація руху основних економічних факторів – товарів, послуг, праці та капіталу призвів до формування потужного європейського </w:t>
            </w:r>
            <w:proofErr w:type="spellStart"/>
            <w:r>
              <w:rPr>
                <w:lang w:val="en-US"/>
              </w:rPr>
              <w:t>acquis</w:t>
            </w:r>
            <w:proofErr w:type="spellEnd"/>
            <w:r w:rsidRPr="0030529C">
              <w:t xml:space="preserve"> </w:t>
            </w:r>
            <w:proofErr w:type="spellStart"/>
            <w:r>
              <w:rPr>
                <w:lang w:val="en-US"/>
              </w:rPr>
              <w:t>communautaire</w:t>
            </w:r>
            <w:proofErr w:type="spellEnd"/>
            <w:r w:rsidRPr="0030529C">
              <w:t>, як</w:t>
            </w:r>
            <w:r>
              <w:t xml:space="preserve">і призвело і призводять до формування нових європейських бізнес-стандартів. </w:t>
            </w:r>
          </w:p>
          <w:p w:rsidR="006406F4" w:rsidRDefault="006406F4" w:rsidP="0034568D">
            <w:pPr>
              <w:pStyle w:val="a5"/>
              <w:tabs>
                <w:tab w:val="left" w:pos="6187"/>
              </w:tabs>
              <w:jc w:val="both"/>
            </w:pPr>
            <w:r w:rsidRPr="00D53C1E">
              <w:rPr>
                <w:b/>
              </w:rPr>
              <w:t>Мета курсу</w:t>
            </w:r>
            <w:r>
              <w:t xml:space="preserve"> – ознайомити слухачів із засадами правового регулювання підприємницької діяльності у ЄС та сформувати блок навиків та уміння критичного осмислення для визначення переваг, недоліків, тенденцій та перспектив розвитку правового регулювання співробітництва між Україною та ЄС з економічних питань.</w:t>
            </w:r>
          </w:p>
          <w:p w:rsidR="006406F4" w:rsidRPr="00D53C1E" w:rsidRDefault="006406F4" w:rsidP="006406F4">
            <w:pPr>
              <w:pStyle w:val="a5"/>
              <w:tabs>
                <w:tab w:val="left" w:pos="6187"/>
              </w:tabs>
              <w:rPr>
                <w:b/>
              </w:rPr>
            </w:pPr>
            <w:r w:rsidRPr="00D53C1E">
              <w:rPr>
                <w:b/>
              </w:rPr>
              <w:t xml:space="preserve">Завдання курсу:  </w:t>
            </w:r>
          </w:p>
          <w:p w:rsidR="006406F4" w:rsidRDefault="006406F4" w:rsidP="006406F4">
            <w:pPr>
              <w:pStyle w:val="a5"/>
              <w:numPr>
                <w:ilvl w:val="0"/>
                <w:numId w:val="3"/>
              </w:numPr>
              <w:tabs>
                <w:tab w:val="left" w:pos="6187"/>
              </w:tabs>
            </w:pPr>
            <w:r>
              <w:t>Розкрити форми та методи міждержавного співробітництва у сфері правового регулювання підприємницької діяльності у ЄС;</w:t>
            </w:r>
          </w:p>
          <w:p w:rsidR="006406F4" w:rsidRDefault="006406F4" w:rsidP="006406F4">
            <w:pPr>
              <w:pStyle w:val="a5"/>
              <w:numPr>
                <w:ilvl w:val="0"/>
                <w:numId w:val="3"/>
              </w:numPr>
              <w:tabs>
                <w:tab w:val="left" w:pos="6187"/>
              </w:tabs>
            </w:pPr>
            <w:r>
              <w:t>Охарактеризувати повноваження і роль інститутів ЄС у процесі формування стандартів ведення підприємницької діяльності;</w:t>
            </w:r>
          </w:p>
          <w:p w:rsidR="006406F4" w:rsidRDefault="006406F4" w:rsidP="006406F4">
            <w:pPr>
              <w:pStyle w:val="a5"/>
              <w:numPr>
                <w:ilvl w:val="0"/>
                <w:numId w:val="3"/>
              </w:numPr>
              <w:tabs>
                <w:tab w:val="left" w:pos="6187"/>
              </w:tabs>
            </w:pPr>
            <w:r>
              <w:t>Дослідити правові засади регулювання економічної інтеграції у ЄС (</w:t>
            </w:r>
            <w:proofErr w:type="spellStart"/>
            <w:r>
              <w:t>приватно-правові</w:t>
            </w:r>
            <w:proofErr w:type="spellEnd"/>
            <w:r>
              <w:t xml:space="preserve"> аспекти);</w:t>
            </w:r>
          </w:p>
          <w:p w:rsidR="006406F4" w:rsidRDefault="006406F4" w:rsidP="006406F4">
            <w:pPr>
              <w:pStyle w:val="a5"/>
              <w:numPr>
                <w:ilvl w:val="0"/>
                <w:numId w:val="3"/>
              </w:numPr>
              <w:tabs>
                <w:tab w:val="left" w:pos="6187"/>
              </w:tabs>
            </w:pPr>
            <w:r>
              <w:t>Вивчити правові механізми співпраці між ЄС та Україною, зокрема проблеми реалізації Угоди про асоціацію між Україною та ЄС щодо впровадження стандартів ЄС щодо ведення підприємницької діяльності та окреслити потенційні напрями і шляхи їхнього подолання</w:t>
            </w:r>
          </w:p>
          <w:p w:rsidR="006406F4" w:rsidRDefault="006406F4" w:rsidP="006406F4">
            <w:pPr>
              <w:pStyle w:val="a5"/>
              <w:tabs>
                <w:tab w:val="left" w:pos="6187"/>
              </w:tabs>
              <w:ind w:left="360"/>
            </w:pPr>
            <w:r>
              <w:t>А також</w:t>
            </w:r>
          </w:p>
          <w:p w:rsidR="006406F4" w:rsidRDefault="006406F4" w:rsidP="006406F4">
            <w:pPr>
              <w:pStyle w:val="a5"/>
              <w:numPr>
                <w:ilvl w:val="0"/>
                <w:numId w:val="3"/>
              </w:numPr>
              <w:tabs>
                <w:tab w:val="left" w:pos="6187"/>
              </w:tabs>
            </w:pPr>
            <w:r>
              <w:t xml:space="preserve">Сформувати навики </w:t>
            </w:r>
            <w:proofErr w:type="spellStart"/>
            <w:r>
              <w:rPr>
                <w:lang w:val="en-US"/>
              </w:rPr>
              <w:t>crtitical</w:t>
            </w:r>
            <w:proofErr w:type="spellEnd"/>
            <w:r w:rsidRPr="00556E98">
              <w:t xml:space="preserve"> </w:t>
            </w:r>
            <w:r>
              <w:rPr>
                <w:lang w:val="en-US"/>
              </w:rPr>
              <w:t>thinking</w:t>
            </w:r>
            <w:r w:rsidRPr="00556E98">
              <w:t xml:space="preserve"> </w:t>
            </w:r>
            <w:r>
              <w:t xml:space="preserve">і </w:t>
            </w:r>
            <w:r w:rsidRPr="00556E98">
              <w:t xml:space="preserve">самостійного аналізу сучасного стану впровадження правових стандартів Європейського Союзу </w:t>
            </w:r>
            <w:r>
              <w:t>в Україні у сфері правового регулювання підприємницької діяльності;</w:t>
            </w:r>
          </w:p>
          <w:p w:rsidR="006406F4" w:rsidRDefault="006406F4" w:rsidP="006406F4">
            <w:pPr>
              <w:pStyle w:val="a5"/>
              <w:numPr>
                <w:ilvl w:val="0"/>
                <w:numId w:val="3"/>
              </w:numPr>
              <w:tabs>
                <w:tab w:val="left" w:pos="6187"/>
              </w:tabs>
            </w:pPr>
            <w:r>
              <w:t>Розвинути уміння формулювати свою позицію у формі аналітичних довідок і матеріалів, пов’язаних з обґрунтуванням позиції України щодо співробітництва з ЄС щодо лібералізації торгівлі між Україною та ЄС;</w:t>
            </w:r>
          </w:p>
          <w:p w:rsidR="006406F4" w:rsidRDefault="006406F4" w:rsidP="006406F4">
            <w:pPr>
              <w:pStyle w:val="a5"/>
              <w:numPr>
                <w:ilvl w:val="0"/>
                <w:numId w:val="3"/>
              </w:numPr>
              <w:tabs>
                <w:tab w:val="left" w:pos="6187"/>
              </w:tabs>
            </w:pPr>
          </w:p>
          <w:p w:rsidR="006406F4" w:rsidRDefault="006406F4" w:rsidP="006406F4">
            <w:pPr>
              <w:pStyle w:val="a5"/>
              <w:tabs>
                <w:tab w:val="left" w:pos="6187"/>
              </w:tabs>
            </w:pPr>
            <w:r>
              <w:t>Курс пов'язаний з такими дисциплінами як теорія держави і права, міжнародне публічне право, вступ до права ЄС, право СОТ, міжнародне приватне право та правове регулювання зовнішньоекономічної діяльності.</w:t>
            </w:r>
          </w:p>
          <w:p w:rsidR="006406F4" w:rsidRDefault="006406F4" w:rsidP="006406F4">
            <w:pPr>
              <w:pStyle w:val="a5"/>
              <w:tabs>
                <w:tab w:val="left" w:pos="6187"/>
              </w:tabs>
            </w:pPr>
            <w:r w:rsidRPr="00D53C1E">
              <w:rPr>
                <w:b/>
              </w:rPr>
              <w:t>Оцінювання</w:t>
            </w:r>
            <w:r>
              <w:t xml:space="preserve"> </w:t>
            </w:r>
            <w:r w:rsidRPr="00D53C1E">
              <w:rPr>
                <w:b/>
              </w:rPr>
              <w:t>знань</w:t>
            </w:r>
            <w:r>
              <w:t>: відповідно до стандарту факультету міжнародних відносин ЛНУ імені Івана Франка.</w:t>
            </w:r>
          </w:p>
          <w:p w:rsidR="006406F4" w:rsidRDefault="006406F4" w:rsidP="006406F4">
            <w:pPr>
              <w:pStyle w:val="a5"/>
              <w:tabs>
                <w:tab w:val="left" w:pos="1464"/>
              </w:tabs>
            </w:pPr>
            <w:r>
              <w:tab/>
            </w:r>
          </w:p>
          <w:p w:rsidR="006406F4" w:rsidRPr="00317D99" w:rsidRDefault="006406F4" w:rsidP="006406F4">
            <w:pPr>
              <w:tabs>
                <w:tab w:val="left" w:pos="2604"/>
              </w:tabs>
              <w:rPr>
                <w:b/>
              </w:rPr>
            </w:pPr>
            <w:r w:rsidRPr="00317D99">
              <w:rPr>
                <w:b/>
              </w:rPr>
              <w:t xml:space="preserve">Навчальний план </w:t>
            </w:r>
            <w:r w:rsidRPr="00317D99">
              <w:rPr>
                <w:b/>
              </w:rPr>
              <w:tab/>
            </w:r>
            <w:r w:rsidRPr="00317D99">
              <w:rPr>
                <w:b/>
              </w:rPr>
              <w:tab/>
            </w:r>
            <w:r w:rsidRPr="00317D99">
              <w:rPr>
                <w:b/>
              </w:rPr>
              <w:tab/>
            </w:r>
            <w:r w:rsidRPr="00317D99">
              <w:rPr>
                <w:b/>
              </w:rPr>
              <w:tab/>
            </w:r>
            <w:r w:rsidRPr="00317D99">
              <w:rPr>
                <w:b/>
              </w:rPr>
              <w:tab/>
            </w:r>
            <w:r w:rsidRPr="00317D99">
              <w:rPr>
                <w:b/>
              </w:rPr>
              <w:tab/>
            </w:r>
            <w:r w:rsidR="0034568D">
              <w:rPr>
                <w:b/>
              </w:rPr>
              <w:t xml:space="preserve">                                                        </w:t>
            </w:r>
            <w:r w:rsidRPr="00317D99">
              <w:rPr>
                <w:b/>
              </w:rPr>
              <w:t xml:space="preserve">2017-2018 </w:t>
            </w:r>
            <w:proofErr w:type="spellStart"/>
            <w:r w:rsidRPr="00317D99">
              <w:rPr>
                <w:b/>
              </w:rPr>
              <w:t>н.р</w:t>
            </w:r>
            <w:proofErr w:type="spellEnd"/>
            <w:r w:rsidRPr="00317D99">
              <w:rPr>
                <w:b/>
              </w:rPr>
              <w:t>.</w:t>
            </w:r>
          </w:p>
          <w:p w:rsidR="006406F4" w:rsidRDefault="006406F4" w:rsidP="006406F4">
            <w:pPr>
              <w:tabs>
                <w:tab w:val="left" w:pos="2604"/>
              </w:tabs>
            </w:pPr>
            <w:r>
              <w:t>Короткий зміст лекційного курсу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52"/>
              <w:gridCol w:w="5529"/>
              <w:gridCol w:w="1950"/>
            </w:tblGrid>
            <w:tr w:rsidR="006406F4" w:rsidRPr="00317D99" w:rsidTr="001D17C1">
              <w:tc>
                <w:tcPr>
                  <w:tcW w:w="2552" w:type="dxa"/>
                </w:tcPr>
                <w:p w:rsidR="006406F4" w:rsidRPr="00317D99" w:rsidRDefault="006406F4" w:rsidP="006406F4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</w:rPr>
                  </w:pPr>
                  <w:r w:rsidRPr="00317D99">
                    <w:rPr>
                      <w:b/>
                      <w:i/>
                    </w:rPr>
                    <w:lastRenderedPageBreak/>
                    <w:t>Дата проведення</w:t>
                  </w:r>
                </w:p>
              </w:tc>
              <w:tc>
                <w:tcPr>
                  <w:tcW w:w="5529" w:type="dxa"/>
                </w:tcPr>
                <w:p w:rsidR="006406F4" w:rsidRPr="00317D99" w:rsidRDefault="006406F4" w:rsidP="006406F4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</w:rPr>
                  </w:pPr>
                  <w:r w:rsidRPr="00317D99">
                    <w:rPr>
                      <w:b/>
                      <w:i/>
                    </w:rPr>
                    <w:t xml:space="preserve">Тема заняття </w:t>
                  </w:r>
                </w:p>
              </w:tc>
              <w:tc>
                <w:tcPr>
                  <w:tcW w:w="1950" w:type="dxa"/>
                </w:tcPr>
                <w:p w:rsidR="006406F4" w:rsidRPr="00317D99" w:rsidRDefault="006406F4" w:rsidP="006406F4">
                  <w:pPr>
                    <w:framePr w:hSpace="180" w:wrap="around" w:vAnchor="text" w:hAnchor="text" w:y="1"/>
                    <w:suppressOverlap/>
                    <w:rPr>
                      <w:b/>
                      <w:i/>
                    </w:rPr>
                  </w:pPr>
                  <w:r w:rsidRPr="00317D99">
                    <w:rPr>
                      <w:b/>
                      <w:i/>
                    </w:rPr>
                    <w:t>Примітки</w:t>
                  </w: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7 вересня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Вступ до курсу, основні поняття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14 вересня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Історико-правові</w:t>
                  </w:r>
                  <w:proofErr w:type="spellEnd"/>
                  <w:r>
                    <w:t xml:space="preserve"> аспекти розвитку міждержавного співробітництва у сфері бізнесу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21 вересня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Поняття, система та джерела європейського бізнес-права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28 вересня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Договірне право ЄС І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5 жовтня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Договірне право ЄС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12 жовтня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Договірне право ЄС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19 жовтня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Договірне право ЄС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26 жовтня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Правове регулювання співробітництва держав членів ЄС у цивільних і комерційних справах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2 листопада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Правове регулювання співробітництва держав членів ЄС у цивільних і комерційних справах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9 листопада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Правове регулювання співробітництва держав членів ЄС у цивільних і комерційних справах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16 листопада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Європейський цивільний кодекс: проект і реальність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23 листопада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Корпоративне право ЄС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30 листопада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 xml:space="preserve">Корпоративне право ЄС 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7 грудня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Корпоративне право ЄС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14 грудня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Захист прав споживачів у ЄС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21 грудня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Сучасний стан гармонізації законодавства України та ЄС у сфері приватного права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6406F4" w:rsidTr="001D17C1">
              <w:tc>
                <w:tcPr>
                  <w:tcW w:w="2552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30 грудня 2017 р.</w:t>
                  </w:r>
                </w:p>
              </w:tc>
              <w:tc>
                <w:tcPr>
                  <w:tcW w:w="5529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  <w:r>
                    <w:t>Сучасний стан гармонізації законодавства України та ЄС у сфері приватного права</w:t>
                  </w:r>
                </w:p>
              </w:tc>
              <w:tc>
                <w:tcPr>
                  <w:tcW w:w="1950" w:type="dxa"/>
                </w:tcPr>
                <w:p w:rsidR="006406F4" w:rsidRDefault="006406F4" w:rsidP="006406F4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6406F4" w:rsidRDefault="006406F4" w:rsidP="006406F4"/>
          <w:p w:rsidR="006406F4" w:rsidRPr="00092B84" w:rsidRDefault="006406F4" w:rsidP="006406F4">
            <w:pPr>
              <w:tabs>
                <w:tab w:val="left" w:pos="1596"/>
              </w:tabs>
              <w:rPr>
                <w:rFonts w:cstheme="minorHAnsi"/>
              </w:rPr>
            </w:pPr>
            <w:r w:rsidRPr="00092B84">
              <w:rPr>
                <w:rFonts w:cstheme="minorHAnsi"/>
              </w:rPr>
              <w:t>Семінарські заняття – індивідуальна робота студентів. Залікова робота – есе обсягом до 12 сторінок на наступні теми:</w:t>
            </w:r>
          </w:p>
          <w:p w:rsidR="006406F4" w:rsidRPr="00092B84" w:rsidRDefault="006406F4" w:rsidP="006406F4">
            <w:pPr>
              <w:pStyle w:val="a4"/>
              <w:numPr>
                <w:ilvl w:val="0"/>
                <w:numId w:val="2"/>
              </w:numPr>
              <w:tabs>
                <w:tab w:val="left" w:pos="1596"/>
              </w:tabs>
              <w:rPr>
                <w:rFonts w:cstheme="minorHAnsi"/>
              </w:rPr>
            </w:pPr>
            <w:r w:rsidRPr="00092B84">
              <w:rPr>
                <w:rFonts w:cstheme="minorHAnsi"/>
              </w:rPr>
              <w:t>Як створити юридичну особу в Європейському Союзі?</w:t>
            </w:r>
          </w:p>
          <w:p w:rsidR="006406F4" w:rsidRPr="00092B84" w:rsidRDefault="006406F4" w:rsidP="006406F4">
            <w:pPr>
              <w:pStyle w:val="a4"/>
              <w:numPr>
                <w:ilvl w:val="0"/>
                <w:numId w:val="2"/>
              </w:numPr>
              <w:tabs>
                <w:tab w:val="left" w:pos="1596"/>
              </w:tabs>
              <w:rPr>
                <w:rFonts w:cstheme="minorHAnsi"/>
              </w:rPr>
            </w:pPr>
            <w:r w:rsidRPr="00092B84">
              <w:rPr>
                <w:rFonts w:cstheme="minorHAnsi"/>
              </w:rPr>
              <w:t>Переговори як інструмент вирішення спорів у ЄС: переваги для бізнесу.</w:t>
            </w:r>
          </w:p>
          <w:p w:rsidR="006406F4" w:rsidRPr="00092B84" w:rsidRDefault="006406F4" w:rsidP="006406F4">
            <w:pPr>
              <w:pStyle w:val="a4"/>
              <w:numPr>
                <w:ilvl w:val="0"/>
                <w:numId w:val="2"/>
              </w:numPr>
              <w:tabs>
                <w:tab w:val="left" w:pos="1596"/>
              </w:tabs>
              <w:rPr>
                <w:rFonts w:cstheme="minorHAnsi"/>
              </w:rPr>
            </w:pPr>
            <w:r w:rsidRPr="00092B84">
              <w:rPr>
                <w:rFonts w:cstheme="minorHAnsi"/>
                <w:lang w:val="en-US"/>
              </w:rPr>
              <w:t>White</w:t>
            </w:r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  <w:lang w:val="en-US"/>
              </w:rPr>
              <w:t>colour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r w:rsidRPr="00092B84">
              <w:rPr>
                <w:rFonts w:cstheme="minorHAnsi"/>
                <w:lang w:val="en-US"/>
              </w:rPr>
              <w:t>crimes</w:t>
            </w:r>
            <w:r w:rsidRPr="00092B84">
              <w:rPr>
                <w:rFonts w:cstheme="minorHAnsi"/>
              </w:rPr>
              <w:t xml:space="preserve"> і боротьба з економічною злочинністю в ЄС.</w:t>
            </w:r>
          </w:p>
          <w:p w:rsidR="006406F4" w:rsidRPr="00092B84" w:rsidRDefault="006406F4" w:rsidP="006406F4">
            <w:pPr>
              <w:pStyle w:val="a4"/>
              <w:numPr>
                <w:ilvl w:val="0"/>
                <w:numId w:val="2"/>
              </w:numPr>
              <w:tabs>
                <w:tab w:val="left" w:pos="1596"/>
              </w:tabs>
              <w:rPr>
                <w:rFonts w:cstheme="minorHAnsi"/>
              </w:rPr>
            </w:pPr>
            <w:r w:rsidRPr="00092B84">
              <w:rPr>
                <w:rFonts w:cstheme="minorHAnsi"/>
              </w:rPr>
              <w:t>Правове регулювання переміщення товарів через митний кордон ЄС.</w:t>
            </w:r>
          </w:p>
          <w:p w:rsidR="006406F4" w:rsidRPr="00092B84" w:rsidRDefault="006406F4" w:rsidP="006406F4">
            <w:pPr>
              <w:pStyle w:val="a4"/>
              <w:numPr>
                <w:ilvl w:val="0"/>
                <w:numId w:val="2"/>
              </w:numPr>
              <w:tabs>
                <w:tab w:val="left" w:pos="1596"/>
              </w:tabs>
              <w:rPr>
                <w:rFonts w:cstheme="minorHAnsi"/>
              </w:rPr>
            </w:pPr>
            <w:r w:rsidRPr="00092B84">
              <w:rPr>
                <w:rFonts w:cstheme="minorHAnsi"/>
              </w:rPr>
              <w:t>Як відбувається працевлаштування громадян з третіх країн у ЄС?</w:t>
            </w:r>
          </w:p>
          <w:p w:rsidR="00092B84" w:rsidRPr="00092B84" w:rsidRDefault="00092B84" w:rsidP="00092B84">
            <w:pPr>
              <w:pStyle w:val="a5"/>
              <w:rPr>
                <w:rFonts w:cstheme="minorHAnsi"/>
              </w:rPr>
            </w:pPr>
            <w:r w:rsidRPr="00092B84">
              <w:rPr>
                <w:rFonts w:cstheme="minorHAnsi"/>
                <w:i/>
              </w:rPr>
              <w:t>Рекомендована</w:t>
            </w:r>
            <w:r w:rsidRPr="00092B84">
              <w:rPr>
                <w:rFonts w:cstheme="minorHAnsi"/>
              </w:rPr>
              <w:t xml:space="preserve"> </w:t>
            </w:r>
            <w:r w:rsidRPr="00092B84">
              <w:rPr>
                <w:rFonts w:cstheme="minorHAnsi"/>
                <w:i/>
              </w:rPr>
              <w:t>література:</w:t>
            </w:r>
          </w:p>
          <w:p w:rsidR="00092B84" w:rsidRPr="00092B84" w:rsidRDefault="00092B84" w:rsidP="00092B8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92B84">
              <w:rPr>
                <w:rFonts w:cstheme="minorHAnsi"/>
              </w:rPr>
              <w:t>Consolidated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versions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of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Treaty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European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Union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and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Treaty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Functioning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of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European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Union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and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Charter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of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Fundamental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Rights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of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European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Union</w:t>
            </w:r>
            <w:proofErr w:type="spellEnd"/>
            <w:r w:rsidRPr="00092B84">
              <w:rPr>
                <w:rFonts w:cstheme="minorHAnsi"/>
              </w:rPr>
              <w:t xml:space="preserve">, REV 7,  6655/7/08, </w:t>
            </w:r>
            <w:proofErr w:type="spellStart"/>
            <w:r w:rsidRPr="00092B84">
              <w:rPr>
                <w:rFonts w:cstheme="minorHAnsi"/>
              </w:rPr>
              <w:t>Brussels</w:t>
            </w:r>
            <w:proofErr w:type="spellEnd"/>
            <w:r w:rsidRPr="00092B84">
              <w:rPr>
                <w:rFonts w:cstheme="minorHAnsi"/>
              </w:rPr>
              <w:t xml:space="preserve">, 12 </w:t>
            </w:r>
            <w:proofErr w:type="spellStart"/>
            <w:r w:rsidRPr="00092B84">
              <w:rPr>
                <w:rFonts w:cstheme="minorHAnsi"/>
              </w:rPr>
              <w:t>November</w:t>
            </w:r>
            <w:proofErr w:type="spellEnd"/>
            <w:r w:rsidRPr="00092B84">
              <w:rPr>
                <w:rFonts w:cstheme="minorHAnsi"/>
              </w:rPr>
              <w:t xml:space="preserve"> 2012, (OR. </w:t>
            </w:r>
            <w:proofErr w:type="spellStart"/>
            <w:r w:rsidRPr="00092B84">
              <w:rPr>
                <w:rFonts w:cstheme="minorHAnsi"/>
              </w:rPr>
              <w:t>fr</w:t>
            </w:r>
            <w:proofErr w:type="spellEnd"/>
            <w:r w:rsidRPr="00092B84">
              <w:rPr>
                <w:rFonts w:cstheme="minorHAnsi"/>
              </w:rPr>
              <w:t>).</w:t>
            </w:r>
          </w:p>
          <w:p w:rsidR="00092B84" w:rsidRPr="00092B84" w:rsidRDefault="00092B84" w:rsidP="00092B8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092B84">
              <w:rPr>
                <w:rFonts w:cstheme="minorHAnsi"/>
              </w:rPr>
              <w:t>Association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Agreement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between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European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Union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and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Its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Member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States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of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one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part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and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Ukraine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of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the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other</w:t>
            </w:r>
            <w:proofErr w:type="spellEnd"/>
            <w:r w:rsidRPr="00092B84">
              <w:rPr>
                <w:rFonts w:cstheme="minorHAnsi"/>
              </w:rPr>
              <w:t xml:space="preserve"> </w:t>
            </w:r>
            <w:proofErr w:type="spellStart"/>
            <w:r w:rsidRPr="00092B84">
              <w:rPr>
                <w:rFonts w:cstheme="minorHAnsi"/>
              </w:rPr>
              <w:t>part</w:t>
            </w:r>
            <w:proofErr w:type="spellEnd"/>
            <w:r w:rsidRPr="00092B84">
              <w:rPr>
                <w:rFonts w:cstheme="minorHAnsi"/>
              </w:rPr>
              <w:t>, OJ (2014) L 161/3.</w:t>
            </w:r>
          </w:p>
          <w:p w:rsidR="00092B84" w:rsidRPr="00092B84" w:rsidRDefault="00092B84" w:rsidP="00092B84">
            <w:pPr>
              <w:pStyle w:val="a5"/>
              <w:numPr>
                <w:ilvl w:val="0"/>
                <w:numId w:val="16"/>
              </w:numPr>
              <w:tabs>
                <w:tab w:val="center" w:pos="4819"/>
              </w:tabs>
              <w:rPr>
                <w:rFonts w:cstheme="minorHAnsi"/>
              </w:rPr>
            </w:pPr>
            <w:r w:rsidRPr="00092B84">
              <w:rPr>
                <w:rFonts w:cstheme="minorHAnsi"/>
              </w:rPr>
              <w:t>Право Європейського Союзу (ред. В.І. Муравйов), - К.: «</w:t>
            </w:r>
            <w:proofErr w:type="spellStart"/>
            <w:r w:rsidRPr="00092B84">
              <w:rPr>
                <w:rFonts w:cstheme="minorHAnsi"/>
              </w:rPr>
              <w:t>Юрінком</w:t>
            </w:r>
            <w:proofErr w:type="spellEnd"/>
            <w:r w:rsidRPr="00092B84">
              <w:rPr>
                <w:rFonts w:cstheme="minorHAnsi"/>
              </w:rPr>
              <w:t xml:space="preserve"> Інтер», 2011.</w:t>
            </w:r>
          </w:p>
          <w:p w:rsidR="00092B84" w:rsidRPr="00092B84" w:rsidRDefault="00092B84" w:rsidP="00092B84">
            <w:pPr>
              <w:pStyle w:val="a5"/>
              <w:numPr>
                <w:ilvl w:val="0"/>
                <w:numId w:val="16"/>
              </w:numPr>
              <w:tabs>
                <w:tab w:val="center" w:pos="4819"/>
              </w:tabs>
              <w:rPr>
                <w:rFonts w:cstheme="minorHAnsi"/>
              </w:rPr>
            </w:pPr>
            <w:r w:rsidRPr="00092B84">
              <w:rPr>
                <w:rFonts w:cstheme="minorHAnsi"/>
              </w:rPr>
              <w:t>Право Європейського Союзу (ред. Р.А. Петров), - К.: «Істина», 2017.</w:t>
            </w:r>
          </w:p>
          <w:p w:rsidR="009818B6" w:rsidRDefault="00092B84" w:rsidP="009818B6">
            <w:pPr>
              <w:pStyle w:val="a5"/>
              <w:numPr>
                <w:ilvl w:val="0"/>
                <w:numId w:val="16"/>
              </w:numPr>
              <w:tabs>
                <w:tab w:val="center" w:pos="4819"/>
              </w:tabs>
              <w:rPr>
                <w:rFonts w:cstheme="minorHAnsi"/>
              </w:rPr>
            </w:pPr>
            <w:r w:rsidRPr="00092B84">
              <w:rPr>
                <w:rFonts w:cstheme="minorHAnsi"/>
                <w:lang w:val="en-US"/>
              </w:rPr>
              <w:t xml:space="preserve">Chalmers Damian, Gareth Davies, </w:t>
            </w:r>
            <w:proofErr w:type="spellStart"/>
            <w:r w:rsidRPr="00092B84">
              <w:rPr>
                <w:rFonts w:cstheme="minorHAnsi"/>
                <w:lang w:val="en-US"/>
              </w:rPr>
              <w:t>Monti</w:t>
            </w:r>
            <w:proofErr w:type="spellEnd"/>
            <w:r w:rsidRPr="00092B84">
              <w:rPr>
                <w:rFonts w:cstheme="minorHAnsi"/>
                <w:lang w:val="en-US"/>
              </w:rPr>
              <w:t xml:space="preserve"> Giorgio, European Union Law. Cases &amp;Materials, 3-rd edition.</w:t>
            </w:r>
          </w:p>
          <w:p w:rsidR="006406F4" w:rsidRPr="009818B6" w:rsidRDefault="00092B84" w:rsidP="009818B6">
            <w:pPr>
              <w:pStyle w:val="a5"/>
              <w:numPr>
                <w:ilvl w:val="0"/>
                <w:numId w:val="16"/>
              </w:numPr>
              <w:tabs>
                <w:tab w:val="center" w:pos="4819"/>
              </w:tabs>
              <w:rPr>
                <w:rFonts w:cstheme="minorHAnsi"/>
              </w:rPr>
            </w:pPr>
            <w:r w:rsidRPr="009818B6">
              <w:rPr>
                <w:rFonts w:eastAsia="Times New Roman" w:cstheme="minorHAnsi"/>
                <w:color w:val="000000"/>
                <w:lang w:val="en-US" w:eastAsia="uk-UA"/>
              </w:rPr>
              <w:t xml:space="preserve">Craig Paul, De </w:t>
            </w:r>
            <w:proofErr w:type="spellStart"/>
            <w:r w:rsidRPr="009818B6">
              <w:rPr>
                <w:rFonts w:eastAsia="Times New Roman" w:cstheme="minorHAnsi"/>
                <w:color w:val="000000"/>
                <w:lang w:val="en-US" w:eastAsia="uk-UA"/>
              </w:rPr>
              <w:t>Bùrca</w:t>
            </w:r>
            <w:proofErr w:type="spellEnd"/>
            <w:r w:rsidRPr="009818B6">
              <w:rPr>
                <w:rFonts w:eastAsia="Times New Roman" w:cstheme="minorHAnsi"/>
                <w:color w:val="000000"/>
                <w:lang w:val="en-US" w:eastAsia="uk-UA"/>
              </w:rPr>
              <w:t xml:space="preserve"> </w:t>
            </w:r>
            <w:proofErr w:type="spellStart"/>
            <w:r w:rsidRPr="009818B6">
              <w:rPr>
                <w:rFonts w:eastAsia="Times New Roman" w:cstheme="minorHAnsi"/>
                <w:color w:val="000000"/>
                <w:lang w:val="en-US" w:eastAsia="uk-UA"/>
              </w:rPr>
              <w:t>Gráinne</w:t>
            </w:r>
            <w:proofErr w:type="spellEnd"/>
            <w:r w:rsidRPr="009818B6">
              <w:rPr>
                <w:rFonts w:eastAsia="Times New Roman" w:cstheme="minorHAnsi"/>
                <w:color w:val="000000"/>
                <w:lang w:val="en-US" w:eastAsia="uk-UA"/>
              </w:rPr>
              <w:t>, EU Law, Text, Cases and Materials, Oxford University Press: Oxford, 2003, 1242 p.</w:t>
            </w:r>
          </w:p>
          <w:p w:rsidR="006406F4" w:rsidRDefault="006406F4" w:rsidP="006406F4">
            <w:pPr>
              <w:pStyle w:val="a5"/>
              <w:tabs>
                <w:tab w:val="center" w:pos="4819"/>
              </w:tabs>
            </w:pPr>
          </w:p>
        </w:tc>
      </w:tr>
    </w:tbl>
    <w:p w:rsidR="006406F4" w:rsidRPr="00092B84" w:rsidRDefault="006406F4" w:rsidP="006406F4">
      <w:pPr>
        <w:tabs>
          <w:tab w:val="left" w:pos="960"/>
        </w:tabs>
        <w:rPr>
          <w:rFonts w:ascii="Calibri" w:eastAsia="Calibri" w:hAnsi="Calibri"/>
          <w:b/>
          <w:bCs/>
          <w:lang w:val="en-US" w:eastAsia="sl-SI"/>
        </w:rPr>
      </w:pPr>
      <w:r>
        <w:rPr>
          <w:rFonts w:cs="Calibri"/>
        </w:rPr>
        <w:lastRenderedPageBreak/>
        <w:br w:type="textWrapping" w:clear="all"/>
      </w:r>
      <w:r>
        <w:rPr>
          <w:rFonts w:cs="Calibri"/>
        </w:rPr>
        <w:tab/>
      </w:r>
      <w:bookmarkStart w:id="3" w:name="Ucbeniki"/>
      <w:bookmarkEnd w:id="3"/>
    </w:p>
    <w:p w:rsidR="00A91CFF" w:rsidRDefault="00A91CFF"/>
    <w:p w:rsidR="00D1274F" w:rsidRPr="005971A0" w:rsidRDefault="00D1274F" w:rsidP="005971A0">
      <w:pPr>
        <w:tabs>
          <w:tab w:val="left" w:pos="1596"/>
        </w:tabs>
      </w:pPr>
    </w:p>
    <w:sectPr w:rsidR="00D1274F" w:rsidRPr="005971A0" w:rsidSect="00030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B73"/>
    <w:multiLevelType w:val="hybridMultilevel"/>
    <w:tmpl w:val="81BA316E"/>
    <w:lvl w:ilvl="0" w:tplc="7A7A22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139E5"/>
    <w:multiLevelType w:val="hybridMultilevel"/>
    <w:tmpl w:val="D152C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7030B"/>
    <w:multiLevelType w:val="hybridMultilevel"/>
    <w:tmpl w:val="9A9E4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F6E59"/>
    <w:multiLevelType w:val="hybridMultilevel"/>
    <w:tmpl w:val="8E26F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353A4"/>
    <w:multiLevelType w:val="hybridMultilevel"/>
    <w:tmpl w:val="C4940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EC7"/>
    <w:multiLevelType w:val="hybridMultilevel"/>
    <w:tmpl w:val="11CE73F6"/>
    <w:lvl w:ilvl="0" w:tplc="419C4DC0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2228B"/>
    <w:multiLevelType w:val="hybridMultilevel"/>
    <w:tmpl w:val="2C6C9FC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226C7"/>
    <w:multiLevelType w:val="hybridMultilevel"/>
    <w:tmpl w:val="022A6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E389F"/>
    <w:multiLevelType w:val="hybridMultilevel"/>
    <w:tmpl w:val="CEDEA7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3192C"/>
    <w:multiLevelType w:val="hybridMultilevel"/>
    <w:tmpl w:val="AA76E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B20E9"/>
    <w:multiLevelType w:val="hybridMultilevel"/>
    <w:tmpl w:val="A75A960C"/>
    <w:lvl w:ilvl="0" w:tplc="86328D7A">
      <w:start w:val="1"/>
      <w:numFmt w:val="bullet"/>
      <w:pStyle w:val="alinej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F73DB"/>
    <w:multiLevelType w:val="hybridMultilevel"/>
    <w:tmpl w:val="D5FA8B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D29DE"/>
    <w:multiLevelType w:val="hybridMultilevel"/>
    <w:tmpl w:val="25464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47027"/>
    <w:multiLevelType w:val="hybridMultilevel"/>
    <w:tmpl w:val="FFE496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50D0"/>
    <w:rsid w:val="0000542C"/>
    <w:rsid w:val="0003012E"/>
    <w:rsid w:val="000356A7"/>
    <w:rsid w:val="00042A2E"/>
    <w:rsid w:val="00092B84"/>
    <w:rsid w:val="00094DDA"/>
    <w:rsid w:val="0030529C"/>
    <w:rsid w:val="00317D99"/>
    <w:rsid w:val="00342D86"/>
    <w:rsid w:val="0034568D"/>
    <w:rsid w:val="00474E1C"/>
    <w:rsid w:val="00544956"/>
    <w:rsid w:val="005971A0"/>
    <w:rsid w:val="005B207F"/>
    <w:rsid w:val="006406F4"/>
    <w:rsid w:val="007F0DB9"/>
    <w:rsid w:val="007F6C81"/>
    <w:rsid w:val="008D6610"/>
    <w:rsid w:val="00970471"/>
    <w:rsid w:val="009818B6"/>
    <w:rsid w:val="00A76291"/>
    <w:rsid w:val="00A91CFF"/>
    <w:rsid w:val="00B460AE"/>
    <w:rsid w:val="00B726C8"/>
    <w:rsid w:val="00BD5A8E"/>
    <w:rsid w:val="00C63139"/>
    <w:rsid w:val="00C75845"/>
    <w:rsid w:val="00D1274F"/>
    <w:rsid w:val="00D876B1"/>
    <w:rsid w:val="00DA274C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956"/>
    <w:pPr>
      <w:ind w:left="720"/>
      <w:contextualSpacing/>
    </w:pPr>
  </w:style>
  <w:style w:type="paragraph" w:styleId="a5">
    <w:name w:val="No Spacing"/>
    <w:uiPriority w:val="1"/>
    <w:qFormat/>
    <w:rsid w:val="007F6C81"/>
    <w:pPr>
      <w:spacing w:after="0" w:line="240" w:lineRule="auto"/>
    </w:pPr>
  </w:style>
  <w:style w:type="paragraph" w:customStyle="1" w:styleId="alineja">
    <w:name w:val="alineja"/>
    <w:basedOn w:val="a"/>
    <w:rsid w:val="006406F4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Holovko-Havrysheva</dc:creator>
  <cp:lastModifiedBy>Oksana Holovko-Havrysheva</cp:lastModifiedBy>
  <cp:revision>25</cp:revision>
  <dcterms:created xsi:type="dcterms:W3CDTF">2017-09-06T09:15:00Z</dcterms:created>
  <dcterms:modified xsi:type="dcterms:W3CDTF">2017-09-20T06:04:00Z</dcterms:modified>
</cp:coreProperties>
</file>