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3A" w:rsidRDefault="00632CB2" w:rsidP="00632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CB2">
        <w:rPr>
          <w:rFonts w:ascii="Times New Roman" w:hAnsi="Times New Roman" w:cs="Times New Roman"/>
          <w:b/>
          <w:sz w:val="28"/>
          <w:szCs w:val="28"/>
        </w:rPr>
        <w:t xml:space="preserve">Перелік питань на державний іспит </w:t>
      </w:r>
    </w:p>
    <w:p w:rsidR="00632CB2" w:rsidRDefault="00632CB2" w:rsidP="00632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54E3A">
        <w:rPr>
          <w:rFonts w:ascii="Times New Roman" w:hAnsi="Times New Roman" w:cs="Times New Roman"/>
          <w:b/>
          <w:sz w:val="28"/>
          <w:szCs w:val="28"/>
        </w:rPr>
        <w:t>(</w:t>
      </w:r>
      <w:r w:rsidR="00554E3A" w:rsidRPr="00554E3A">
        <w:rPr>
          <w:rFonts w:ascii="Times New Roman" w:hAnsi="Times New Roman" w:cs="Times New Roman"/>
          <w:b/>
          <w:color w:val="000000"/>
          <w:sz w:val="28"/>
          <w:szCs w:val="28"/>
        </w:rPr>
        <w:t>Напрям підготовки</w:t>
      </w:r>
      <w:r w:rsidR="00554E3A" w:rsidRPr="00554E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«Міжнародний бізнес»</w:t>
      </w:r>
      <w:r w:rsidRPr="00554E3A">
        <w:rPr>
          <w:rFonts w:ascii="Times New Roman" w:hAnsi="Times New Roman" w:cs="Times New Roman"/>
          <w:b/>
          <w:sz w:val="28"/>
          <w:szCs w:val="28"/>
        </w:rPr>
        <w:t>)</w:t>
      </w:r>
    </w:p>
    <w:bookmarkEnd w:id="0"/>
    <w:p w:rsidR="00632CB2" w:rsidRPr="00632CB2" w:rsidRDefault="00632CB2" w:rsidP="00632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632CB2" w:rsidRPr="00632CB2" w:rsidRDefault="00632CB2" w:rsidP="00632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2CB2" w:rsidRPr="00632CB2" w:rsidRDefault="00632CB2" w:rsidP="005D3DB0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Світова економіка як економічна система</w:t>
      </w:r>
      <w:r w:rsidR="005D3DB0" w:rsidRPr="005D3D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Етапи формування світової економіки</w:t>
      </w:r>
      <w:r w:rsidR="005D3DB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Сутність і значення міжнародного поділу праці. Генетичні та історичні особливості.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Основні моделі трансформації економічних систем на шляху переходу до ринку</w:t>
      </w:r>
      <w:r w:rsidR="005D3DB0" w:rsidRPr="005D3D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Критерії, 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2CB2">
        <w:rPr>
          <w:rFonts w:ascii="Times New Roman" w:hAnsi="Times New Roman" w:cs="Times New Roman"/>
          <w:sz w:val="28"/>
          <w:szCs w:val="28"/>
        </w:rPr>
        <w:t xml:space="preserve">значені </w:t>
      </w:r>
      <w:proofErr w:type="spellStart"/>
      <w:r w:rsidRPr="00632CB2">
        <w:rPr>
          <w:rFonts w:ascii="Times New Roman" w:hAnsi="Times New Roman" w:cs="Times New Roman"/>
          <w:sz w:val="28"/>
          <w:szCs w:val="28"/>
        </w:rPr>
        <w:t>Маастрихською</w:t>
      </w:r>
      <w:proofErr w:type="spellEnd"/>
      <w:r w:rsidRPr="00632CB2">
        <w:rPr>
          <w:rFonts w:ascii="Times New Roman" w:hAnsi="Times New Roman" w:cs="Times New Roman"/>
          <w:sz w:val="28"/>
          <w:szCs w:val="28"/>
        </w:rPr>
        <w:t xml:space="preserve"> угодою</w:t>
      </w:r>
      <w:r w:rsidR="005D3DB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Етапи формування Європейського союзу</w:t>
      </w:r>
      <w:r w:rsidR="005D3DB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Етапи формування і наслідки валютного союзу ЄС</w:t>
      </w:r>
      <w:r w:rsidR="005D3DB0" w:rsidRPr="005D3D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Сутність і значення процесів глобалізації</w:t>
      </w:r>
      <w:r w:rsidR="005D3DB0" w:rsidRPr="005D3D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Сутність міжнародної економічної інтеграції</w:t>
      </w:r>
      <w:r w:rsidR="005D3DB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Форми міжнародної економічної інтеграції</w:t>
      </w:r>
      <w:r w:rsidR="005D3DB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Регіональні інтеграційні об’єднання Африки</w:t>
      </w:r>
      <w:r w:rsidR="005D3DB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 xml:space="preserve">Інтеграційні процеси в </w:t>
      </w:r>
      <w:proofErr w:type="spellStart"/>
      <w:r w:rsidRPr="00632CB2">
        <w:rPr>
          <w:rFonts w:ascii="Times New Roman" w:hAnsi="Times New Roman" w:cs="Times New Roman"/>
          <w:sz w:val="28"/>
          <w:szCs w:val="28"/>
        </w:rPr>
        <w:t>Азійсько</w:t>
      </w:r>
      <w:proofErr w:type="spellEnd"/>
      <w:r w:rsidRPr="00632CB2">
        <w:rPr>
          <w:rFonts w:ascii="Times New Roman" w:hAnsi="Times New Roman" w:cs="Times New Roman"/>
          <w:sz w:val="28"/>
          <w:szCs w:val="28"/>
        </w:rPr>
        <w:t>-Тихоокеанському регіоні</w:t>
      </w:r>
      <w:r w:rsidR="005D3DB0" w:rsidRPr="005D3D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Регіональні інтеграційні об’єднання Американського континенту</w:t>
      </w:r>
      <w:r w:rsidR="005D3DB0" w:rsidRPr="005D3D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Закономірності розвитку світової економіки</w:t>
      </w:r>
      <w:r w:rsidR="005D3DB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Сутність концепції трансформації інституціоналізму</w:t>
      </w:r>
      <w:r w:rsidR="005D3DB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Сутність концепції трансформації „шокова терапія”</w:t>
      </w:r>
      <w:r w:rsidR="005D3DB0" w:rsidRPr="005D3D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Характеристика економік країн, що розвиваються</w:t>
      </w:r>
      <w:r w:rsidR="005D3DB0" w:rsidRPr="005D3D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Класифікація країн за рівнем економічного розвитку</w:t>
      </w:r>
      <w:r w:rsidR="005D3DB0" w:rsidRPr="005D3D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Особливості соціально-економічного розвитку нових індустріальних країн</w:t>
      </w:r>
      <w:r w:rsidR="005D3DB0" w:rsidRPr="005D3D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Інтеграційні об’єднання Європи (ЦЕФТА, ЕФТА, ЧЕС)</w:t>
      </w:r>
      <w:r w:rsidR="005D3DB0" w:rsidRPr="005D3DB0">
        <w:rPr>
          <w:rFonts w:ascii="Times New Roman" w:hAnsi="Times New Roman" w:cs="Times New Roman"/>
          <w:sz w:val="28"/>
          <w:szCs w:val="28"/>
        </w:rPr>
        <w:t>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Особливості  розширення ЄС 2004, 2007 років</w:t>
      </w:r>
      <w:r w:rsidR="005D3DB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Основні завдання трансформації економічних систем на шляху переходу до ринку</w:t>
      </w:r>
      <w:r w:rsidR="005D3DB0" w:rsidRPr="005D3D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 xml:space="preserve">Особливості процесів </w:t>
      </w:r>
      <w:proofErr w:type="spellStart"/>
      <w:r w:rsidRPr="00632CB2">
        <w:rPr>
          <w:rFonts w:ascii="Times New Roman" w:hAnsi="Times New Roman" w:cs="Times New Roman"/>
          <w:sz w:val="28"/>
          <w:szCs w:val="28"/>
        </w:rPr>
        <w:t>транснаціоналізації</w:t>
      </w:r>
      <w:proofErr w:type="spellEnd"/>
      <w:r w:rsidR="005D3DB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Інституційна структура Європейського Союзу</w:t>
      </w:r>
      <w:r w:rsidR="005D3DB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Основні напрями реалізації євроінтеграційної стратегії України.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 xml:space="preserve">Виробничі можливості національних економік: постійні альтернативні вартості. 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 xml:space="preserve">Виробничі можливості національних економік: зростаючі альтернативні вартості. 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 xml:space="preserve">Виробничі можливості національних економік: однакові виробничі можливості з неоднаковими смаками. 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Криві пропозиції: визначення умов торгівлі.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 xml:space="preserve">Модель </w:t>
      </w:r>
      <w:proofErr w:type="spellStart"/>
      <w:r w:rsidRPr="00632CB2">
        <w:rPr>
          <w:rFonts w:ascii="Times New Roman" w:hAnsi="Times New Roman" w:cs="Times New Roman"/>
          <w:sz w:val="28"/>
          <w:szCs w:val="28"/>
        </w:rPr>
        <w:t>Гекшера-Оліна</w:t>
      </w:r>
      <w:proofErr w:type="spellEnd"/>
      <w:r w:rsidRPr="00632CB2">
        <w:rPr>
          <w:rFonts w:ascii="Times New Roman" w:hAnsi="Times New Roman" w:cs="Times New Roman"/>
          <w:sz w:val="28"/>
          <w:szCs w:val="28"/>
        </w:rPr>
        <w:t xml:space="preserve">: арифметичний приклад. 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lastRenderedPageBreak/>
        <w:t xml:space="preserve">Отримання кривої виробничих можливостей країни відповідно до забезпеченості факторами. Виробничі функції: криві однакових кількостей. Забезпеченість факторами. Неоднакова забезпеченість факторами як основа торгівлі. 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 xml:space="preserve">Неоднорідність та зміни у забезпеченості факторами. Фактори землі. Людський фактор. Капітал. 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 xml:space="preserve">Неоднорідність та зміни у забезпеченості факторами. Впливи на торгівлю і різноманітність факторів. Ефекти впливу на торгівлю: зміна факторів. 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 xml:space="preserve">Модель </w:t>
      </w:r>
      <w:proofErr w:type="spellStart"/>
      <w:r w:rsidRPr="00632CB2">
        <w:rPr>
          <w:rFonts w:ascii="Times New Roman" w:hAnsi="Times New Roman" w:cs="Times New Roman"/>
          <w:sz w:val="28"/>
          <w:szCs w:val="28"/>
        </w:rPr>
        <w:t>Гекшера-Оліна</w:t>
      </w:r>
      <w:proofErr w:type="spellEnd"/>
      <w:r w:rsidRPr="00632CB2">
        <w:rPr>
          <w:rFonts w:ascii="Times New Roman" w:hAnsi="Times New Roman" w:cs="Times New Roman"/>
          <w:sz w:val="28"/>
          <w:szCs w:val="28"/>
        </w:rPr>
        <w:t xml:space="preserve"> і “парадокс Леонтьєва”. 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Порівняльна перевага. Транспортні та інші витрати на переміщення. Ефекти транспортних витрат на міжнародну торгівлю.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 xml:space="preserve">Порівняльна перевага. Транспортні та інші витрати на переміщення. Ефекти транспортних витрат на розміщення виробництва. 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Ключові риси основних ринкових структур. Довгострокова ціна і виробництво індивідуальної фірми в умовах досконалої конкуренції та в умовах монополії. Суспільні витрати на монопольну владу.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 xml:space="preserve">Порівняльна перевага. Недосконала конкуренція: монопольні прибутки, зростаюча дохідність, диференціація продукту та ризику. 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Порівняльна перевага. Цінова дискримінація між внутрішніми та зовнішніми ринками: демпінг.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 xml:space="preserve">Порівняльна перевага. Монопольні прибутки: суспільні витрати на монопольну владу. Зростаюча дохідність: ефект масштабу, економія диверсифікації. 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Порівняльна перевага. Ефекти монополії та олігополії на торгівлю. Нецінова конкуренція.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 xml:space="preserve">Порівняльна перевага. </w:t>
      </w:r>
      <w:proofErr w:type="spellStart"/>
      <w:r w:rsidRPr="00632CB2">
        <w:rPr>
          <w:rFonts w:ascii="Times New Roman" w:hAnsi="Times New Roman" w:cs="Times New Roman"/>
          <w:sz w:val="28"/>
          <w:szCs w:val="28"/>
        </w:rPr>
        <w:t>Співпадання</w:t>
      </w:r>
      <w:proofErr w:type="spellEnd"/>
      <w:r w:rsidRPr="00632CB2">
        <w:rPr>
          <w:rFonts w:ascii="Times New Roman" w:hAnsi="Times New Roman" w:cs="Times New Roman"/>
          <w:sz w:val="28"/>
          <w:szCs w:val="28"/>
        </w:rPr>
        <w:t xml:space="preserve"> ринкових сегментів: модель </w:t>
      </w:r>
      <w:proofErr w:type="spellStart"/>
      <w:r w:rsidRPr="00632CB2">
        <w:rPr>
          <w:rFonts w:ascii="Times New Roman" w:hAnsi="Times New Roman" w:cs="Times New Roman"/>
          <w:sz w:val="28"/>
          <w:szCs w:val="28"/>
        </w:rPr>
        <w:t>Ліндера</w:t>
      </w:r>
      <w:proofErr w:type="spellEnd"/>
      <w:r w:rsidRPr="00632CB2">
        <w:rPr>
          <w:rFonts w:ascii="Times New Roman" w:hAnsi="Times New Roman" w:cs="Times New Roman"/>
          <w:sz w:val="28"/>
          <w:szCs w:val="28"/>
        </w:rPr>
        <w:t>. Внутрігалузева торгівля.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 xml:space="preserve">Порівняльна перевага. Технологічні теорії торгівлі. 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 xml:space="preserve">Технологічні теорії торгівлі. Модель життєвого циклу продукту. 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Міжнародна мобільність факторів і теорія торгівлі. Економічна інтеграція.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 xml:space="preserve">Міжнародна мобільність факторів. Багатонаціональна компанія і теорія торгівля. 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 xml:space="preserve">Тарифні та нетарифні торговельні бар‘єри. Економічні ефекти тарифів. Цінові ефекти імпортного мита. 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 xml:space="preserve">Тарифні торговельні бар‘єри. Економічні ефекти тарифів. Суспільні витрати на тарифи. 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 xml:space="preserve">Тарифні торговельні бар‘єри. Визначення елементів тарифної системи. 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 xml:space="preserve">Нетарифні торговельні бар‘єри. Кількісні обмеження. Імпортні та експортні квоти. Економічні ефекти квот. 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lastRenderedPageBreak/>
        <w:t>Нетарифні торговельні бар‘єри: Митна класифікація та оцінка. Антидемпінгове регулювання. Субсидії. Технічні стандарти та охорона здоров'я.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Нетарифні торговельні бар‘єри: Державні закупівлі. Податки. Вимоги до місцевої участі в іноземних інвестиціях. Нетарифні торгові бар'єри в сфері послуг.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 xml:space="preserve">Вільна торгівля та аргументи на користь протекціонізму. Помилкові та спірні аргументи на користь протекціонізму. 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Теоретичні моделі міжнародної економічної інтеграції. Статичні і динамічні ефекти інтеграції.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 xml:space="preserve">Види економічного зростання і його вплив на зовнішню торгівлю. Теорема </w:t>
      </w:r>
      <w:proofErr w:type="spellStart"/>
      <w:r w:rsidRPr="00632CB2">
        <w:rPr>
          <w:rFonts w:ascii="Times New Roman" w:hAnsi="Times New Roman" w:cs="Times New Roman"/>
          <w:sz w:val="28"/>
          <w:szCs w:val="28"/>
        </w:rPr>
        <w:t>Рибчинського</w:t>
      </w:r>
      <w:proofErr w:type="spellEnd"/>
      <w:r w:rsidRPr="00632C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2CB2">
        <w:rPr>
          <w:rFonts w:ascii="Times New Roman" w:hAnsi="Times New Roman" w:cs="Times New Roman"/>
          <w:sz w:val="28"/>
          <w:szCs w:val="28"/>
        </w:rPr>
        <w:t>Розорюючий</w:t>
      </w:r>
      <w:proofErr w:type="spellEnd"/>
      <w:r w:rsidRPr="00632CB2">
        <w:rPr>
          <w:rFonts w:ascii="Times New Roman" w:hAnsi="Times New Roman" w:cs="Times New Roman"/>
          <w:sz w:val="28"/>
          <w:szCs w:val="28"/>
        </w:rPr>
        <w:t xml:space="preserve"> ріст факторів виробництва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Національна економіка та зовнішня торгівля. Мультиплікатор зовнішньої торгівлі та кейнсіанська модель економіки.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Міжнародна біржова торгівля: основні операції, товарні групи, світові біржові центри.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Міграційні потоки на світовому ринку праці. Аналіз виграшів та збитків (економічних та позаекономічних) від міжнародної міграції.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Теорії визначення валютних курсів. Теорія паритету купівельної спроможності. Прогнозування валютних курсів.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Основні валютні операції. Навести приклад трикутного арбітражу. Операції “</w:t>
      </w:r>
      <w:proofErr w:type="spellStart"/>
      <w:r w:rsidRPr="00632CB2">
        <w:rPr>
          <w:rFonts w:ascii="Times New Roman" w:hAnsi="Times New Roman" w:cs="Times New Roman"/>
          <w:sz w:val="28"/>
          <w:szCs w:val="28"/>
        </w:rPr>
        <w:t>своп</w:t>
      </w:r>
      <w:proofErr w:type="spellEnd"/>
      <w:r w:rsidRPr="00632CB2">
        <w:rPr>
          <w:rFonts w:ascii="Times New Roman" w:hAnsi="Times New Roman" w:cs="Times New Roman"/>
          <w:sz w:val="28"/>
          <w:szCs w:val="28"/>
        </w:rPr>
        <w:t>”.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Методи страхування валютних ризиків. Світові ринки валютних ф′ючерсів та опціонів, сфери їх застосування.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Основні стратегії валютного регулювання в державі. Плаваючі та фіксовані валютні курси.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Питання платіжного балансу держави: структура, основні статті, розділи, види трансакцій.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Методи саморегуляції торгового балансу і валютний курс. Умови Маршала-</w:t>
      </w:r>
      <w:proofErr w:type="spellStart"/>
      <w:r w:rsidRPr="00632CB2">
        <w:rPr>
          <w:rFonts w:ascii="Times New Roman" w:hAnsi="Times New Roman" w:cs="Times New Roman"/>
          <w:sz w:val="28"/>
          <w:szCs w:val="28"/>
        </w:rPr>
        <w:t>Лернера</w:t>
      </w:r>
      <w:proofErr w:type="spellEnd"/>
      <w:r w:rsidRPr="00632CB2">
        <w:rPr>
          <w:rFonts w:ascii="Times New Roman" w:hAnsi="Times New Roman" w:cs="Times New Roman"/>
          <w:sz w:val="28"/>
          <w:szCs w:val="28"/>
        </w:rPr>
        <w:t>. Наслідки девальвації національної валюти.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Еволюція світової монетарної системи. Принципи діяльності Міжнародного валютного фонду.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Європейська валютна система. Інституційні та економічні основи функціонування.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Валютні біржі (учасники, види операцій, переваги та недоліки біржових торгів).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Форми міжнародного кредиту. Комерційний та банківський кредит. Вартість міжнародного кредиту.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Види міжнародного лізингу і сфери його застосування.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 xml:space="preserve">Схеми операцій міжнародного факторингу та </w:t>
      </w:r>
      <w:proofErr w:type="spellStart"/>
      <w:r w:rsidRPr="00632CB2">
        <w:rPr>
          <w:rFonts w:ascii="Times New Roman" w:hAnsi="Times New Roman" w:cs="Times New Roman"/>
          <w:sz w:val="28"/>
          <w:szCs w:val="28"/>
        </w:rPr>
        <w:t>форфейтингу</w:t>
      </w:r>
      <w:proofErr w:type="spellEnd"/>
      <w:r w:rsidRPr="00632CB2">
        <w:rPr>
          <w:rFonts w:ascii="Times New Roman" w:hAnsi="Times New Roman" w:cs="Times New Roman"/>
          <w:sz w:val="28"/>
          <w:szCs w:val="28"/>
        </w:rPr>
        <w:t>. Сфери застосування.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lastRenderedPageBreak/>
        <w:t xml:space="preserve">Інвестування в світовій економіці. Порівняльний аналіз прямих і портфельних іноземних інвестицій. 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Способи розрахунку ефективності іноземних інвестицій. Метод теперішньої вартості. Метод затрати-вигоди.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Світові фондові ринки та їх основні інструменти. Євробонди, Євроноти.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Техніка міжнародних валютно-фінансових операцій. Методи розрахунку і методи платежу.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Схеми розрахунків по міжнародному акредитиву та інкасо. Переваги і недоліки для експортерів та імпортерів.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Іноземне інвестування в Україні. Оцінка інвестиційного клімату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Структура експортних та імпортних потоків в українській економіці та їх ефективність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Теорія процентного паритету. Алгебраїчна та геометрична інтерпретація.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Умови Маршала-</w:t>
      </w:r>
      <w:proofErr w:type="spellStart"/>
      <w:r w:rsidRPr="00632CB2">
        <w:rPr>
          <w:rFonts w:ascii="Times New Roman" w:hAnsi="Times New Roman" w:cs="Times New Roman"/>
          <w:sz w:val="28"/>
          <w:szCs w:val="28"/>
        </w:rPr>
        <w:t>Лернера</w:t>
      </w:r>
      <w:proofErr w:type="spellEnd"/>
      <w:r w:rsidRPr="00632CB2">
        <w:rPr>
          <w:rFonts w:ascii="Times New Roman" w:hAnsi="Times New Roman" w:cs="Times New Roman"/>
          <w:sz w:val="28"/>
          <w:szCs w:val="28"/>
        </w:rPr>
        <w:t>. Стабільний та нестабільний валютний ринок.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 xml:space="preserve">Модель </w:t>
      </w:r>
      <w:proofErr w:type="spellStart"/>
      <w:r w:rsidRPr="00632CB2">
        <w:rPr>
          <w:rFonts w:ascii="Times New Roman" w:hAnsi="Times New Roman" w:cs="Times New Roman"/>
          <w:sz w:val="28"/>
          <w:szCs w:val="28"/>
        </w:rPr>
        <w:t>Мандела</w:t>
      </w:r>
      <w:proofErr w:type="spellEnd"/>
      <w:r w:rsidRPr="00632CB2">
        <w:rPr>
          <w:rFonts w:ascii="Times New Roman" w:hAnsi="Times New Roman" w:cs="Times New Roman"/>
          <w:sz w:val="28"/>
          <w:szCs w:val="28"/>
        </w:rPr>
        <w:t>-Флемінга та регулювання платіжного балансу держави.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Еволюція системи багатостороннього регулювання міжнародної тор-</w:t>
      </w:r>
      <w:proofErr w:type="spellStart"/>
      <w:r w:rsidRPr="00632CB2">
        <w:rPr>
          <w:rFonts w:ascii="Times New Roman" w:hAnsi="Times New Roman" w:cs="Times New Roman"/>
          <w:sz w:val="28"/>
          <w:szCs w:val="28"/>
        </w:rPr>
        <w:t>гівлі</w:t>
      </w:r>
      <w:proofErr w:type="spellEnd"/>
      <w:r w:rsidRPr="00632CB2">
        <w:rPr>
          <w:rFonts w:ascii="Times New Roman" w:hAnsi="Times New Roman" w:cs="Times New Roman"/>
          <w:sz w:val="28"/>
          <w:szCs w:val="28"/>
        </w:rPr>
        <w:t>: від ГАТТ до СОТ.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Створення Світової організації торгівлі, сфера її діяльності.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Порівняння систем регулювання міжнародної торгівлі в рамках ГАТТ і СОТ.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Основні цілі та функції СОТ.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Організаційна структура СОТ.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 xml:space="preserve">Прийняття рішень та членство в СОТ. 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Мережа міжнародних організацій та угод у сфері міжнародної торгівлі.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Особливості та тенденції розвитку міжнародної торгівлі товарами.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Особливості та тенденції розвитку міжнародної торгівлі послугами.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Поняття принципів недискримінації в міжнародній торгівлі.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Принципи щодо застосування митних тарифів і кількісних обмежень у системі ГАТТ/СОТ.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Поняття і важливість принципу прозорості у системі ГАТТ/СОТ.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Особливості застосування захисних заходів (</w:t>
      </w:r>
      <w:proofErr w:type="spellStart"/>
      <w:r w:rsidRPr="00632CB2">
        <w:rPr>
          <w:rFonts w:ascii="Times New Roman" w:hAnsi="Times New Roman" w:cs="Times New Roman"/>
          <w:sz w:val="28"/>
          <w:szCs w:val="28"/>
        </w:rPr>
        <w:t>safeguards</w:t>
      </w:r>
      <w:proofErr w:type="spellEnd"/>
      <w:r w:rsidRPr="00632CB2">
        <w:rPr>
          <w:rFonts w:ascii="Times New Roman" w:hAnsi="Times New Roman" w:cs="Times New Roman"/>
          <w:sz w:val="28"/>
          <w:szCs w:val="28"/>
        </w:rPr>
        <w:t xml:space="preserve">) у випадку різкого зростання імпорту. 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 xml:space="preserve">Визначення демпінгу за правилами СОТ. 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 xml:space="preserve">Застосування антидемпінгових заходів за правилами СОТ.  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 xml:space="preserve">Види субсидій та особливості застосування компенсаційних заходів в міжнародній торгівлі за правилами СОТ.  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Процедура врегулювання торговельних суперечок у рамках СОТ.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Особливості сільського господарства в структурі світової економіки.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Чому сільське господарство розглядається як вразливий сектор у торговельній системі СОТ?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lastRenderedPageBreak/>
        <w:t>Основні риси регулювання міжнародної торгівлі сільськогосподарськими товарами в рамках СОТ.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Суть стандартів і технічних бар’єрів у міжнародній торгівлі.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Особливості застосування технічних бар’єрів у міжнародній торгівлі (технічні регламенти та стандарти, стандартизація, процедура оцінки відповідності)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 xml:space="preserve">Правила регулювання у сфері санітарних і </w:t>
      </w:r>
      <w:proofErr w:type="spellStart"/>
      <w:r w:rsidRPr="00632CB2">
        <w:rPr>
          <w:rFonts w:ascii="Times New Roman" w:hAnsi="Times New Roman" w:cs="Times New Roman"/>
          <w:sz w:val="28"/>
          <w:szCs w:val="28"/>
        </w:rPr>
        <w:t>фітосанітарних</w:t>
      </w:r>
      <w:proofErr w:type="spellEnd"/>
      <w:r w:rsidRPr="00632CB2">
        <w:rPr>
          <w:rFonts w:ascii="Times New Roman" w:hAnsi="Times New Roman" w:cs="Times New Roman"/>
          <w:sz w:val="28"/>
          <w:szCs w:val="28"/>
        </w:rPr>
        <w:t xml:space="preserve"> заходів у системі СОТ.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Особливості міжнародної торгівлі текстилем та одягом.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Еволюція системи регулювання міжнародної торгівлі текстилем та одягом.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Поняття та види прав інтелектуальної власності, необхідність захисту на міжнародному рівні.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Взаємозв’язок між правами інтелектуальної власності та міжнародною торгівлею.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Регулювання торговельних аспектів прав інтелектуальної власності в рамках СОТ.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Поняття та види правил визначення походження товарів в міжнародній торгівлі, способи визначення країни походження товарів, критерії визначення значної переробки товарів.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Розвитку багатосторонньої торговельної системи СОТ після Уругвайського раунду.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Основні риси регулювання міжнародної торгівлі сільськогосподарськими товарами в рамках СОТ.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Особливості міжнародної торгівлі текстилем та одягом.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Регулювання торговельних аспектів прав інтелектуальної власності в рамках СОТ.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Поняття та види правил визначення походження товарів в міжнародній торгівлі, способи визначення країни походження товарів, критерії визначення значної переробки товарів.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Взаємозв’язок між правами інтелектуальної власності та міжнародною торгівлею.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Розвитку багатосторонньої торговельної системи СОТ після Уругвайського раунду.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Створення Світової організації торгівлі, сфера її діяльності.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Особливості сільського господарства в структурі світової економіки.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Чому сільське господарство розглядається як вразливий сектор у торговельній системі СОТ?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Суть стандартів і технічних бар’єрів у міжнародній торгівлі.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lastRenderedPageBreak/>
        <w:t>Особливості застосування технічних бар’єрів у міжнародній торгівлі (технічні регламенти та стандарти, стандартизація, процедура оцінки відповідності)</w:t>
      </w:r>
    </w:p>
    <w:p w:rsidR="00632CB2" w:rsidRPr="00632CB2" w:rsidRDefault="00632CB2" w:rsidP="00632CB2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 xml:space="preserve">Правила регулювання у сфері санітарних і </w:t>
      </w:r>
      <w:proofErr w:type="spellStart"/>
      <w:r w:rsidRPr="00632CB2">
        <w:rPr>
          <w:rFonts w:ascii="Times New Roman" w:hAnsi="Times New Roman" w:cs="Times New Roman"/>
          <w:sz w:val="28"/>
          <w:szCs w:val="28"/>
        </w:rPr>
        <w:t>фітосанітарних</w:t>
      </w:r>
      <w:proofErr w:type="spellEnd"/>
      <w:r w:rsidRPr="00632CB2">
        <w:rPr>
          <w:rFonts w:ascii="Times New Roman" w:hAnsi="Times New Roman" w:cs="Times New Roman"/>
          <w:sz w:val="28"/>
          <w:szCs w:val="28"/>
        </w:rPr>
        <w:t xml:space="preserve"> заходів у системі СОТ.</w:t>
      </w:r>
    </w:p>
    <w:p w:rsidR="00632CB2" w:rsidRDefault="00632CB2" w:rsidP="00632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2CB2" w:rsidRPr="00632CB2" w:rsidRDefault="00632CB2" w:rsidP="00632CB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32CB2" w:rsidRPr="00632C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57CF"/>
    <w:multiLevelType w:val="hybridMultilevel"/>
    <w:tmpl w:val="2230EE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A626C"/>
    <w:multiLevelType w:val="hybridMultilevel"/>
    <w:tmpl w:val="2230EE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B2"/>
    <w:rsid w:val="00486A76"/>
    <w:rsid w:val="00554E3A"/>
    <w:rsid w:val="005D3DB0"/>
    <w:rsid w:val="00632CB2"/>
    <w:rsid w:val="008329F6"/>
    <w:rsid w:val="00C6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15681-9AF7-4306-8BF1-2D292BF0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6346</Words>
  <Characters>3618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Ірина</cp:lastModifiedBy>
  <cp:revision>2</cp:revision>
  <dcterms:created xsi:type="dcterms:W3CDTF">2019-04-18T12:11:00Z</dcterms:created>
  <dcterms:modified xsi:type="dcterms:W3CDTF">2019-04-18T12:11:00Z</dcterms:modified>
</cp:coreProperties>
</file>