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55" w:rsidRDefault="00632CB2" w:rsidP="00632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CB2">
        <w:rPr>
          <w:rFonts w:ascii="Times New Roman" w:hAnsi="Times New Roman" w:cs="Times New Roman"/>
          <w:b/>
          <w:sz w:val="28"/>
          <w:szCs w:val="28"/>
        </w:rPr>
        <w:t xml:space="preserve">Перелік питань на державний іспит </w:t>
      </w:r>
    </w:p>
    <w:p w:rsidR="00632CB2" w:rsidRDefault="00632CB2" w:rsidP="00632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CB2">
        <w:rPr>
          <w:rFonts w:ascii="Times New Roman" w:hAnsi="Times New Roman" w:cs="Times New Roman"/>
          <w:b/>
          <w:sz w:val="28"/>
          <w:szCs w:val="28"/>
        </w:rPr>
        <w:t>(</w:t>
      </w:r>
      <w:r w:rsidR="006C613D" w:rsidRPr="006C613D">
        <w:rPr>
          <w:rFonts w:ascii="Times New Roman" w:hAnsi="Times New Roman" w:cs="Times New Roman"/>
          <w:b/>
          <w:sz w:val="28"/>
          <w:szCs w:val="28"/>
        </w:rPr>
        <w:t xml:space="preserve">Напрям підготовки </w:t>
      </w:r>
      <w:r w:rsidRPr="006C613D">
        <w:rPr>
          <w:rFonts w:ascii="Times New Roman" w:hAnsi="Times New Roman" w:cs="Times New Roman"/>
          <w:b/>
          <w:sz w:val="28"/>
          <w:szCs w:val="28"/>
        </w:rPr>
        <w:t>«</w:t>
      </w:r>
      <w:r w:rsidRPr="00632CB2">
        <w:rPr>
          <w:rFonts w:ascii="Times New Roman" w:hAnsi="Times New Roman" w:cs="Times New Roman"/>
          <w:b/>
          <w:sz w:val="28"/>
          <w:szCs w:val="28"/>
        </w:rPr>
        <w:t>Міжнародні економічні відносини»)</w:t>
      </w:r>
    </w:p>
    <w:p w:rsidR="00632CB2" w:rsidRPr="00632CB2" w:rsidRDefault="00632CB2" w:rsidP="00632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632CB2" w:rsidRPr="00632CB2" w:rsidRDefault="00632CB2" w:rsidP="00632C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2CB2" w:rsidRPr="00632CB2" w:rsidRDefault="00632CB2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Світова економіка як економічна система</w:t>
      </w:r>
      <w:r w:rsidR="005D3DB0" w:rsidRPr="005D3D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2CB2" w:rsidRPr="00632CB2" w:rsidRDefault="00632CB2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Етапи формування світової економіки</w:t>
      </w:r>
      <w:r w:rsidR="005D3DB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32CB2" w:rsidRPr="00632CB2" w:rsidRDefault="00632CB2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Сутність і значення міжнародного поділу праці. Ген</w:t>
      </w:r>
      <w:r w:rsidR="005D3DB0">
        <w:rPr>
          <w:rFonts w:ascii="Times New Roman" w:hAnsi="Times New Roman" w:cs="Times New Roman"/>
          <w:sz w:val="28"/>
          <w:szCs w:val="28"/>
        </w:rPr>
        <w:t>етичні та історичні особливості</w:t>
      </w:r>
      <w:r w:rsidR="005D3DB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32CB2" w:rsidRPr="00632CB2" w:rsidRDefault="00632CB2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Основні моделі трансформації економічних систем на шляху переходу до ринку</w:t>
      </w:r>
      <w:r w:rsidR="005D3DB0" w:rsidRPr="005D3D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2CB2" w:rsidRPr="00632CB2" w:rsidRDefault="00632CB2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Критерії, в</w:t>
      </w:r>
      <w:r w:rsidR="008329F6">
        <w:rPr>
          <w:rFonts w:ascii="Times New Roman" w:hAnsi="Times New Roman" w:cs="Times New Roman"/>
          <w:sz w:val="28"/>
          <w:szCs w:val="28"/>
        </w:rPr>
        <w:t>и</w:t>
      </w:r>
      <w:r w:rsidRPr="00632CB2">
        <w:rPr>
          <w:rFonts w:ascii="Times New Roman" w:hAnsi="Times New Roman" w:cs="Times New Roman"/>
          <w:sz w:val="28"/>
          <w:szCs w:val="28"/>
        </w:rPr>
        <w:t xml:space="preserve">значені </w:t>
      </w:r>
      <w:proofErr w:type="spellStart"/>
      <w:r w:rsidRPr="00632CB2">
        <w:rPr>
          <w:rFonts w:ascii="Times New Roman" w:hAnsi="Times New Roman" w:cs="Times New Roman"/>
          <w:sz w:val="28"/>
          <w:szCs w:val="28"/>
        </w:rPr>
        <w:t>Маастрихською</w:t>
      </w:r>
      <w:proofErr w:type="spellEnd"/>
      <w:r w:rsidRPr="00632CB2">
        <w:rPr>
          <w:rFonts w:ascii="Times New Roman" w:hAnsi="Times New Roman" w:cs="Times New Roman"/>
          <w:sz w:val="28"/>
          <w:szCs w:val="28"/>
        </w:rPr>
        <w:t xml:space="preserve"> угодою</w:t>
      </w:r>
      <w:r w:rsidR="005D3DB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32CB2" w:rsidRPr="00632CB2" w:rsidRDefault="00632CB2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Етапи формування Європейського союзу</w:t>
      </w:r>
      <w:r w:rsidR="005D3DB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32CB2" w:rsidRPr="00632CB2" w:rsidRDefault="00632CB2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Етапи формування і наслідки валютного союзу ЄС</w:t>
      </w:r>
      <w:r w:rsidR="005D3DB0" w:rsidRPr="005D3D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2CB2" w:rsidRPr="00632CB2" w:rsidRDefault="00632CB2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Сутність і значення процесів глобалізації</w:t>
      </w:r>
      <w:r w:rsidR="005D3DB0" w:rsidRPr="005D3D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2CB2" w:rsidRPr="00632CB2" w:rsidRDefault="00632CB2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Сутність міжнародної економічної інтеграції</w:t>
      </w:r>
      <w:r w:rsidR="005D3DB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Форми міжнародної економічної інтеграції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Регіональні інтеграційні об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632CB2" w:rsidRPr="00632CB2">
        <w:rPr>
          <w:rFonts w:ascii="Times New Roman" w:hAnsi="Times New Roman" w:cs="Times New Roman"/>
          <w:sz w:val="28"/>
          <w:szCs w:val="28"/>
        </w:rPr>
        <w:t>єднання Африки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 xml:space="preserve">Інтеграційні процеси в </w:t>
      </w:r>
      <w:proofErr w:type="spellStart"/>
      <w:r w:rsidR="00632CB2" w:rsidRPr="00632CB2">
        <w:rPr>
          <w:rFonts w:ascii="Times New Roman" w:hAnsi="Times New Roman" w:cs="Times New Roman"/>
          <w:sz w:val="28"/>
          <w:szCs w:val="28"/>
        </w:rPr>
        <w:t>Азійсько</w:t>
      </w:r>
      <w:proofErr w:type="spellEnd"/>
      <w:r w:rsidR="00632CB2" w:rsidRPr="00632CB2">
        <w:rPr>
          <w:rFonts w:ascii="Times New Roman" w:hAnsi="Times New Roman" w:cs="Times New Roman"/>
          <w:sz w:val="28"/>
          <w:szCs w:val="28"/>
        </w:rPr>
        <w:t>-Тихоокеанському регіоні</w:t>
      </w:r>
      <w:r w:rsidRPr="005D3D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Регіональні інтеграційні об</w:t>
      </w:r>
      <w:r w:rsidRPr="005D3DB0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632CB2" w:rsidRPr="00632CB2">
        <w:rPr>
          <w:rFonts w:ascii="Times New Roman" w:hAnsi="Times New Roman" w:cs="Times New Roman"/>
          <w:sz w:val="28"/>
          <w:szCs w:val="28"/>
        </w:rPr>
        <w:t>єднання Американського континенту</w:t>
      </w:r>
      <w:r w:rsidRPr="005D3D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Закономірності розвитку світової економіки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Сутність концепції трансформації інституціоналізму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Сутність концепції трансформації „шокова терапія”</w:t>
      </w:r>
      <w:r w:rsidRPr="005D3D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Характеристика економік країн, що розвиваються</w:t>
      </w:r>
      <w:r w:rsidRPr="005D3D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Класифікація країн за рівнем економічного розвитку</w:t>
      </w:r>
      <w:r w:rsidRPr="005D3D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Особливості соціально-економічного розвитку нових індустріальних країн</w:t>
      </w:r>
      <w:r w:rsidRPr="005D3D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Інтеграційні об</w:t>
      </w:r>
      <w:r w:rsidRPr="005D3DB0">
        <w:rPr>
          <w:rFonts w:ascii="Times New Roman" w:hAnsi="Times New Roman" w:cs="Times New Roman"/>
          <w:sz w:val="28"/>
          <w:szCs w:val="28"/>
        </w:rPr>
        <w:t>’</w:t>
      </w:r>
      <w:r w:rsidR="00632CB2" w:rsidRPr="00632CB2">
        <w:rPr>
          <w:rFonts w:ascii="Times New Roman" w:hAnsi="Times New Roman" w:cs="Times New Roman"/>
          <w:sz w:val="28"/>
          <w:szCs w:val="28"/>
        </w:rPr>
        <w:t>єднання Європи (ЦЕФТА, ЕФТА, ЧЕС)</w:t>
      </w:r>
      <w:r w:rsidRPr="005D3DB0">
        <w:rPr>
          <w:rFonts w:ascii="Times New Roman" w:hAnsi="Times New Roman" w:cs="Times New Roman"/>
          <w:sz w:val="28"/>
          <w:szCs w:val="28"/>
        </w:rPr>
        <w:t>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Особливості  розширення ЄС 2004, 2007 років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Основні завдання трансформації економічних систем на шляху переходу до ринку</w:t>
      </w:r>
      <w:r w:rsidRPr="005D3D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 xml:space="preserve">Особливості процесів </w:t>
      </w:r>
      <w:proofErr w:type="spellStart"/>
      <w:r w:rsidR="00632CB2" w:rsidRPr="00632CB2">
        <w:rPr>
          <w:rFonts w:ascii="Times New Roman" w:hAnsi="Times New Roman" w:cs="Times New Roman"/>
          <w:sz w:val="28"/>
          <w:szCs w:val="28"/>
        </w:rPr>
        <w:t>транснаціоналізації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Інституційна структура Європейського Союзу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Основні напрями реалізації євроінтеграційної стратегії України.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 xml:space="preserve">Виробничі можливості національних економік: постійні альтернативні вартості. 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80755">
        <w:rPr>
          <w:rFonts w:ascii="Times New Roman" w:hAnsi="Times New Roman" w:cs="Times New Roman"/>
          <w:sz w:val="28"/>
          <w:szCs w:val="28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 xml:space="preserve">Виробничі можливості національних економік: зростаючі альтернативні вартості. 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 xml:space="preserve">Виробничі можливості національних економік: однакові виробничі можливості з неоднаковими смаками. 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80755">
        <w:rPr>
          <w:rFonts w:ascii="Times New Roman" w:hAnsi="Times New Roman" w:cs="Times New Roman"/>
          <w:sz w:val="28"/>
          <w:szCs w:val="28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Криві пропозиції: визначення умов торгівлі.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 xml:space="preserve">Модель </w:t>
      </w:r>
      <w:proofErr w:type="spellStart"/>
      <w:r w:rsidR="00632CB2" w:rsidRPr="00632CB2">
        <w:rPr>
          <w:rFonts w:ascii="Times New Roman" w:hAnsi="Times New Roman" w:cs="Times New Roman"/>
          <w:sz w:val="28"/>
          <w:szCs w:val="28"/>
        </w:rPr>
        <w:t>Гекшера-Оліна</w:t>
      </w:r>
      <w:proofErr w:type="spellEnd"/>
      <w:r w:rsidR="00632CB2" w:rsidRPr="00632CB2">
        <w:rPr>
          <w:rFonts w:ascii="Times New Roman" w:hAnsi="Times New Roman" w:cs="Times New Roman"/>
          <w:sz w:val="28"/>
          <w:szCs w:val="28"/>
        </w:rPr>
        <w:t xml:space="preserve">: арифметичний приклад. 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 xml:space="preserve">Отримання кривої виробничих можливостей країни відповідно до забезпеченості факторами. Виробничі функції: криві однакових кількостей. Забезпеченість факторами. Неоднакова забезпеченість факторами як основа торгівлі. 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 xml:space="preserve">Неоднорідність та зміни у забезпеченості факторами. Фактори землі. Людський фактор. Капітал. 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 xml:space="preserve">Неоднорідність та зміни у забезпеченості факторами. Впливи на торгівлю і різноманітність факторів. Ефекти впливу на торгівлю: зміна факторів. 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 xml:space="preserve">Модель </w:t>
      </w:r>
      <w:proofErr w:type="spellStart"/>
      <w:r w:rsidR="00632CB2" w:rsidRPr="00632CB2">
        <w:rPr>
          <w:rFonts w:ascii="Times New Roman" w:hAnsi="Times New Roman" w:cs="Times New Roman"/>
          <w:sz w:val="28"/>
          <w:szCs w:val="28"/>
        </w:rPr>
        <w:t>Гекшера-Оліна</w:t>
      </w:r>
      <w:proofErr w:type="spellEnd"/>
      <w:r w:rsidR="00632CB2" w:rsidRPr="00632CB2">
        <w:rPr>
          <w:rFonts w:ascii="Times New Roman" w:hAnsi="Times New Roman" w:cs="Times New Roman"/>
          <w:sz w:val="28"/>
          <w:szCs w:val="28"/>
        </w:rPr>
        <w:t xml:space="preserve"> і “парадокс Леонтьєва”. 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807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Порівняльна перевага. Транспортні та інші витрати на переміщення. Ефекти транспортних витрат на міжнародну торгівлю.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807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 xml:space="preserve">Порівняльна перевага. Транспортні та інші витрати на переміщення. Ефекти транспортних витрат на розміщення виробництва. 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Ключові риси основних ринкових структур. Довгострокова ціна і виробництво індивідуальної фірми в умовах досконалої конкуренції та в умовах монополії. Суспільні витрати на монопольну владу.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807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 xml:space="preserve">Порівняльна перевага. Недосконала конкуренція: монопольні прибутки, зростаюча дохідність, диференціація продукту та ризику. 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807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Порівняльна перевага. Цінова дискримінація між внутрішніми та зовнішніми ринками: демпінг.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807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 xml:space="preserve">Порівняльна перевага. Монопольні прибутки: суспільні витрати на монопольну владу. Зростаюча дохідність: ефект масштабу, економія диверсифікації. 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807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Порівняльна перевага. Ефекти монополії та олігополії на торгівлю. Нецінова конкуренція.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807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 xml:space="preserve">Порівняльна перевага. </w:t>
      </w:r>
      <w:proofErr w:type="spellStart"/>
      <w:r w:rsidR="00632CB2" w:rsidRPr="00632CB2">
        <w:rPr>
          <w:rFonts w:ascii="Times New Roman" w:hAnsi="Times New Roman" w:cs="Times New Roman"/>
          <w:sz w:val="28"/>
          <w:szCs w:val="28"/>
        </w:rPr>
        <w:t>Співпадання</w:t>
      </w:r>
      <w:proofErr w:type="spellEnd"/>
      <w:r w:rsidR="00632CB2" w:rsidRPr="00632CB2">
        <w:rPr>
          <w:rFonts w:ascii="Times New Roman" w:hAnsi="Times New Roman" w:cs="Times New Roman"/>
          <w:sz w:val="28"/>
          <w:szCs w:val="28"/>
        </w:rPr>
        <w:t xml:space="preserve"> ринкових сегментів: модель </w:t>
      </w:r>
      <w:proofErr w:type="spellStart"/>
      <w:r w:rsidR="00632CB2" w:rsidRPr="00632CB2">
        <w:rPr>
          <w:rFonts w:ascii="Times New Roman" w:hAnsi="Times New Roman" w:cs="Times New Roman"/>
          <w:sz w:val="28"/>
          <w:szCs w:val="28"/>
        </w:rPr>
        <w:t>Ліндера</w:t>
      </w:r>
      <w:proofErr w:type="spellEnd"/>
      <w:r w:rsidR="00632CB2" w:rsidRPr="00632CB2">
        <w:rPr>
          <w:rFonts w:ascii="Times New Roman" w:hAnsi="Times New Roman" w:cs="Times New Roman"/>
          <w:sz w:val="28"/>
          <w:szCs w:val="28"/>
        </w:rPr>
        <w:t>. Внутрігалузева торгівля.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807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 xml:space="preserve">Порівняльна перевага. Технологічні теорії торгівлі. 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807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 xml:space="preserve">Технологічні теорії торгівлі. Модель життєвого циклу продукту. 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Міжнародна мобільність факторів і теорія торгівлі. Економічна інтеграція.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807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 xml:space="preserve">Міжнародна мобільність факторів. Багатонаціональна компанія і теорія торгівля. 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 xml:space="preserve">Тарифні та нетарифні торговельні бар‘єри. Економічні ефекти тарифів. Цінові ефекти імпортного мита. 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807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 xml:space="preserve">Тарифні торговельні бар‘єри. Економічні ефекти тарифів. Суспільні витрати на тарифи. 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807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 xml:space="preserve">Тарифні торговельні бар‘єри. Визначення елементів тарифної системи. 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807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 xml:space="preserve">Нетарифні торговельні бар‘єри. Кількісні обмеження. Імпортні та експортні квоти. Економічні ефекти квот. 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Нетарифні торговельні бар‘єри: Митна класифікація та оцінка. Антидемпінгове регулювання. Субсидії. Технічні стандарти та охорона здоров'я.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Нетарифні торговельні бар‘єри: Державні закупівлі. Податки. Вимоги до місцевої участі в іноземних інвестиціях. Нетарифні торгові бар'єри в сфері послуг.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 xml:space="preserve">Вільна торгівля та аргументи на користь протекціонізму. Помилкові та спірні аргументи на користь протекціонізму. 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Теоретичні моделі міжнародної економічної інтеграції. Статичні і динамічні ефекти інтеграції.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 xml:space="preserve">Види економічного зростання і його вплив на зовнішню торгівлю. Теорема </w:t>
      </w:r>
      <w:proofErr w:type="spellStart"/>
      <w:r w:rsidR="00632CB2" w:rsidRPr="00632CB2">
        <w:rPr>
          <w:rFonts w:ascii="Times New Roman" w:hAnsi="Times New Roman" w:cs="Times New Roman"/>
          <w:sz w:val="28"/>
          <w:szCs w:val="28"/>
        </w:rPr>
        <w:t>Рибчинського</w:t>
      </w:r>
      <w:proofErr w:type="spellEnd"/>
      <w:r w:rsidR="00632CB2" w:rsidRPr="00632C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2CB2" w:rsidRPr="00632CB2">
        <w:rPr>
          <w:rFonts w:ascii="Times New Roman" w:hAnsi="Times New Roman" w:cs="Times New Roman"/>
          <w:sz w:val="28"/>
          <w:szCs w:val="28"/>
        </w:rPr>
        <w:t>Розорюючий</w:t>
      </w:r>
      <w:proofErr w:type="spellEnd"/>
      <w:r w:rsidR="00632CB2" w:rsidRPr="00632CB2">
        <w:rPr>
          <w:rFonts w:ascii="Times New Roman" w:hAnsi="Times New Roman" w:cs="Times New Roman"/>
          <w:sz w:val="28"/>
          <w:szCs w:val="28"/>
        </w:rPr>
        <w:t xml:space="preserve"> ріст факторів виробництва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Національна економіка та зовнішня торгівля. Мультиплікатор зовнішньої торгівлі та кейнсіанська модель економіки.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80755">
        <w:rPr>
          <w:rFonts w:ascii="Times New Roman" w:hAnsi="Times New Roman" w:cs="Times New Roman"/>
          <w:sz w:val="28"/>
          <w:szCs w:val="28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Міжнародна біржова торгівля: основні операції, товарні групи, світові біржові центри.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Міграційні потоки на світовому ринку праці. Аналіз виграшів та збитків (економічних та позаекономічних) від міжнародної міграції.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80755">
        <w:rPr>
          <w:rFonts w:ascii="Times New Roman" w:hAnsi="Times New Roman" w:cs="Times New Roman"/>
          <w:sz w:val="28"/>
          <w:szCs w:val="28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Теорії визначення валютних курсів. Теорія паритету купівельної спроможності. Прогнозування валютних курсів.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807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Основні валютні операції. Навести приклад трикутного арбітражу. Операції “</w:t>
      </w:r>
      <w:proofErr w:type="spellStart"/>
      <w:r w:rsidR="00632CB2" w:rsidRPr="00632CB2">
        <w:rPr>
          <w:rFonts w:ascii="Times New Roman" w:hAnsi="Times New Roman" w:cs="Times New Roman"/>
          <w:sz w:val="28"/>
          <w:szCs w:val="28"/>
        </w:rPr>
        <w:t>своп</w:t>
      </w:r>
      <w:proofErr w:type="spellEnd"/>
      <w:r w:rsidR="00632CB2" w:rsidRPr="00632CB2">
        <w:rPr>
          <w:rFonts w:ascii="Times New Roman" w:hAnsi="Times New Roman" w:cs="Times New Roman"/>
          <w:sz w:val="28"/>
          <w:szCs w:val="28"/>
        </w:rPr>
        <w:t>”.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80755">
        <w:rPr>
          <w:rFonts w:ascii="Times New Roman" w:hAnsi="Times New Roman" w:cs="Times New Roman"/>
          <w:sz w:val="28"/>
          <w:szCs w:val="28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Методи страхування валютних ризиків. Світові ринки валютних ф′ючерсів та опціонів, сфери їх застосування.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80755">
        <w:rPr>
          <w:rFonts w:ascii="Times New Roman" w:hAnsi="Times New Roman" w:cs="Times New Roman"/>
          <w:sz w:val="28"/>
          <w:szCs w:val="28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Основні стратегії валютного регулювання в державі. Плаваючі та фіксовані валютні курси.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Питання платіжного балансу держави: структура, основні статті, розділи, види трансакцій.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Методи саморегуляції торгового балансу і валютний курс. Умови Маршала-</w:t>
      </w:r>
      <w:proofErr w:type="spellStart"/>
      <w:r w:rsidR="00632CB2" w:rsidRPr="00632CB2">
        <w:rPr>
          <w:rFonts w:ascii="Times New Roman" w:hAnsi="Times New Roman" w:cs="Times New Roman"/>
          <w:sz w:val="28"/>
          <w:szCs w:val="28"/>
        </w:rPr>
        <w:t>Лернера</w:t>
      </w:r>
      <w:proofErr w:type="spellEnd"/>
      <w:r w:rsidR="00632CB2" w:rsidRPr="00632CB2">
        <w:rPr>
          <w:rFonts w:ascii="Times New Roman" w:hAnsi="Times New Roman" w:cs="Times New Roman"/>
          <w:sz w:val="28"/>
          <w:szCs w:val="28"/>
        </w:rPr>
        <w:t>. Наслідки девальвації національної валюти.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807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Еволюція світової монетарної системи. Принципи діяльності Міжнародного валютного фонду.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807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Європейська валютна система. Інституційні та економічні основи функціонування.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Валютні біржі (учасники, види операцій, переваги та недоліки біржових торгів).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807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Форми міжнародного кредиту. Комерційний та банківський кредит. Вартість міжнародного кредиту.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Види міжнародного лізингу і сфери його застосування.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 xml:space="preserve">Схеми операцій міжнародного факторингу та </w:t>
      </w:r>
      <w:proofErr w:type="spellStart"/>
      <w:r w:rsidR="00632CB2" w:rsidRPr="00632CB2">
        <w:rPr>
          <w:rFonts w:ascii="Times New Roman" w:hAnsi="Times New Roman" w:cs="Times New Roman"/>
          <w:sz w:val="28"/>
          <w:szCs w:val="28"/>
        </w:rPr>
        <w:t>форфейтингу</w:t>
      </w:r>
      <w:proofErr w:type="spellEnd"/>
      <w:r w:rsidR="00632CB2" w:rsidRPr="00632CB2">
        <w:rPr>
          <w:rFonts w:ascii="Times New Roman" w:hAnsi="Times New Roman" w:cs="Times New Roman"/>
          <w:sz w:val="28"/>
          <w:szCs w:val="28"/>
        </w:rPr>
        <w:t>. Сфери застосування.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8075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 xml:space="preserve">Інвестування в світовій економіці. Порівняльний аналіз прямих і портфельних іноземних інвестицій. 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80755">
        <w:rPr>
          <w:rFonts w:ascii="Times New Roman" w:hAnsi="Times New Roman" w:cs="Times New Roman"/>
          <w:sz w:val="28"/>
          <w:szCs w:val="28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Способи розрахунку ефективності іноземних інвестицій. Метод теперішньої вартості. Метод затрати-вигоди.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Світові фондові ринки та їх основні інструменти. Євробонди, Євроноти.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Техніка міжнародних валютно-фінансових операцій. Методи розрахунку і методи платежу.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Схеми розрахунків по міжнародному акредитиву та інкасо. Переваги і недоліки для експортерів та імпортерів.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807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Іноземне інвестування в Україні. Оцінка інвестиційного клімату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Структура експортних та імпортних потоків в українській економіці та їх ефективність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807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Теорія процентного паритету. Алгебраїчна та геометрична інтерпретація.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807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Умови Маршала-</w:t>
      </w:r>
      <w:proofErr w:type="spellStart"/>
      <w:r w:rsidR="00632CB2" w:rsidRPr="00632CB2">
        <w:rPr>
          <w:rFonts w:ascii="Times New Roman" w:hAnsi="Times New Roman" w:cs="Times New Roman"/>
          <w:sz w:val="28"/>
          <w:szCs w:val="28"/>
        </w:rPr>
        <w:t>Лернера</w:t>
      </w:r>
      <w:proofErr w:type="spellEnd"/>
      <w:r w:rsidR="00632CB2" w:rsidRPr="00632CB2">
        <w:rPr>
          <w:rFonts w:ascii="Times New Roman" w:hAnsi="Times New Roman" w:cs="Times New Roman"/>
          <w:sz w:val="28"/>
          <w:szCs w:val="28"/>
        </w:rPr>
        <w:t>. Стабільний та нестабільний валютний ринок.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 xml:space="preserve">Модель </w:t>
      </w:r>
      <w:proofErr w:type="spellStart"/>
      <w:r w:rsidR="00632CB2" w:rsidRPr="00632CB2">
        <w:rPr>
          <w:rFonts w:ascii="Times New Roman" w:hAnsi="Times New Roman" w:cs="Times New Roman"/>
          <w:sz w:val="28"/>
          <w:szCs w:val="28"/>
        </w:rPr>
        <w:t>Мандела</w:t>
      </w:r>
      <w:proofErr w:type="spellEnd"/>
      <w:r w:rsidR="00632CB2" w:rsidRPr="00632CB2">
        <w:rPr>
          <w:rFonts w:ascii="Times New Roman" w:hAnsi="Times New Roman" w:cs="Times New Roman"/>
          <w:sz w:val="28"/>
          <w:szCs w:val="28"/>
        </w:rPr>
        <w:t>-Флемінга та регулювання платіжного балансу держави.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Еволюція системи багатостороннього регулювання міжнародної тор-</w:t>
      </w:r>
      <w:proofErr w:type="spellStart"/>
      <w:r w:rsidR="00632CB2" w:rsidRPr="00632CB2">
        <w:rPr>
          <w:rFonts w:ascii="Times New Roman" w:hAnsi="Times New Roman" w:cs="Times New Roman"/>
          <w:sz w:val="28"/>
          <w:szCs w:val="28"/>
        </w:rPr>
        <w:t>гівлі</w:t>
      </w:r>
      <w:proofErr w:type="spellEnd"/>
      <w:r w:rsidR="00632CB2" w:rsidRPr="00632CB2">
        <w:rPr>
          <w:rFonts w:ascii="Times New Roman" w:hAnsi="Times New Roman" w:cs="Times New Roman"/>
          <w:sz w:val="28"/>
          <w:szCs w:val="28"/>
        </w:rPr>
        <w:t>: від ГАТТ до СОТ.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Створення Світової організації торгівлі, сфера її діяльності.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80755">
        <w:rPr>
          <w:rFonts w:ascii="Times New Roman" w:hAnsi="Times New Roman" w:cs="Times New Roman"/>
          <w:sz w:val="28"/>
          <w:szCs w:val="28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Порівняння систем регулювання міжнародної торгівлі в рамках ГАТТ і СОТ.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Основні цілі та функції СОТ.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807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Організаційна структура СОТ.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 xml:space="preserve">Прийняття рішень та членство в СОТ. 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Мережа міжнародних організацій та угод у сфері міжнародної торгівлі.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Особливості та тенденції розвитку міжнародної торгівлі товарами.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Особливості та тенденції розвитку міжнародної торгівлі послугами.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Поняття принципів недискримінації в міжнародній торгівлі.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Принципи щодо застосування митних тарифів і кількісних обмежень у системі ГАТТ/СОТ.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Поняття і важливість принципу прозорості у системі ГАТТ/СОТ.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Особливості застосування захисних заходів (</w:t>
      </w:r>
      <w:proofErr w:type="spellStart"/>
      <w:r w:rsidR="00632CB2" w:rsidRPr="00632CB2">
        <w:rPr>
          <w:rFonts w:ascii="Times New Roman" w:hAnsi="Times New Roman" w:cs="Times New Roman"/>
          <w:sz w:val="28"/>
          <w:szCs w:val="28"/>
        </w:rPr>
        <w:t>safeguards</w:t>
      </w:r>
      <w:proofErr w:type="spellEnd"/>
      <w:r w:rsidR="00632CB2" w:rsidRPr="00632CB2">
        <w:rPr>
          <w:rFonts w:ascii="Times New Roman" w:hAnsi="Times New Roman" w:cs="Times New Roman"/>
          <w:sz w:val="28"/>
          <w:szCs w:val="28"/>
        </w:rPr>
        <w:t xml:space="preserve">) у випадку різкого зростання імпорту. 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 xml:space="preserve">Визначення демпінгу за правилами СОТ. 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 xml:space="preserve">Застосування антидемпінгових заходів за правилами СОТ.  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 xml:space="preserve">Види субсидій та особливості застосування компенсаційних заходів в міжнародній торгівлі за правилами СОТ.  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Процедура врегулювання торговельних суперечок у рамках СОТ.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Особливості сільського господарства в структурі світової економіки.</w:t>
      </w:r>
    </w:p>
    <w:p w:rsidR="00632CB2" w:rsidRPr="00632CB2" w:rsidRDefault="005D3DB0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5D3D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CB2" w:rsidRPr="00632CB2">
        <w:rPr>
          <w:rFonts w:ascii="Times New Roman" w:hAnsi="Times New Roman" w:cs="Times New Roman"/>
          <w:sz w:val="28"/>
          <w:szCs w:val="28"/>
        </w:rPr>
        <w:t>Чому сільське господарство розглядається як вразливий сектор у торговельній системі СОТ?</w:t>
      </w:r>
    </w:p>
    <w:p w:rsidR="00632CB2" w:rsidRPr="00632CB2" w:rsidRDefault="00632CB2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lastRenderedPageBreak/>
        <w:t>Основні риси регулювання міжнародної торгівлі сільськогосподарськими товарами в рамках СОТ.</w:t>
      </w:r>
    </w:p>
    <w:p w:rsidR="00632CB2" w:rsidRPr="00632CB2" w:rsidRDefault="00632CB2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Суть стандартів і технічних бар’єрів у міжнародній торгівлі.</w:t>
      </w:r>
    </w:p>
    <w:p w:rsidR="00632CB2" w:rsidRPr="00632CB2" w:rsidRDefault="00632CB2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Особливості застосування технічних бар’єрів у міжнародній торгівлі (технічні регламенти та стандарти, стандартизація, процедура оцінки відповідності)</w:t>
      </w:r>
    </w:p>
    <w:p w:rsidR="00632CB2" w:rsidRPr="00632CB2" w:rsidRDefault="00632CB2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 xml:space="preserve">Правила регулювання у сфері санітарних і </w:t>
      </w:r>
      <w:proofErr w:type="spellStart"/>
      <w:r w:rsidRPr="00632CB2">
        <w:rPr>
          <w:rFonts w:ascii="Times New Roman" w:hAnsi="Times New Roman" w:cs="Times New Roman"/>
          <w:sz w:val="28"/>
          <w:szCs w:val="28"/>
        </w:rPr>
        <w:t>фітосанітарних</w:t>
      </w:r>
      <w:proofErr w:type="spellEnd"/>
      <w:r w:rsidRPr="00632CB2">
        <w:rPr>
          <w:rFonts w:ascii="Times New Roman" w:hAnsi="Times New Roman" w:cs="Times New Roman"/>
          <w:sz w:val="28"/>
          <w:szCs w:val="28"/>
        </w:rPr>
        <w:t xml:space="preserve"> заходів у системі СОТ.</w:t>
      </w:r>
    </w:p>
    <w:p w:rsidR="00632CB2" w:rsidRPr="00632CB2" w:rsidRDefault="00632CB2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Особливості міжнародної торгівлі текстилем та одягом.</w:t>
      </w:r>
    </w:p>
    <w:p w:rsidR="00632CB2" w:rsidRPr="00632CB2" w:rsidRDefault="00632CB2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Взаємозв’язок між правами інтелектуальної власності та міжнародною торгівлею.</w:t>
      </w:r>
    </w:p>
    <w:p w:rsidR="00632CB2" w:rsidRPr="00632CB2" w:rsidRDefault="00632CB2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Регулювання торговельних аспектів прав інтелектуальної власності в рамках СОТ.</w:t>
      </w:r>
    </w:p>
    <w:p w:rsidR="00632CB2" w:rsidRPr="00632CB2" w:rsidRDefault="00632CB2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Поняття та види правил визначення походження товарів в міжнародній торгівлі, способи визначення країни походження товарів, критерії визначення значної переробки товарів.</w:t>
      </w:r>
    </w:p>
    <w:p w:rsidR="00632CB2" w:rsidRPr="00632CB2" w:rsidRDefault="00632CB2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Розвитку багатосторонньої торговельної системи СОТ після Уругвайського раунду.</w:t>
      </w:r>
    </w:p>
    <w:p w:rsidR="00632CB2" w:rsidRPr="00632CB2" w:rsidRDefault="00632CB2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Основні риси регулювання міжнародної торгівлі сільськогосподарськими товарами в рамках СОТ.</w:t>
      </w:r>
    </w:p>
    <w:p w:rsidR="00632CB2" w:rsidRPr="00632CB2" w:rsidRDefault="00632CB2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Особливості міжнародної торгівлі текстилем та одягом.</w:t>
      </w:r>
    </w:p>
    <w:p w:rsidR="00632CB2" w:rsidRPr="00632CB2" w:rsidRDefault="00632CB2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Регулювання торговельних аспектів прав інтелектуальної власності в рамках СОТ.</w:t>
      </w:r>
    </w:p>
    <w:p w:rsidR="00632CB2" w:rsidRPr="00632CB2" w:rsidRDefault="00632CB2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Поняття та види правил визначення походження товарів в міжнародній торгівлі, способи визначення країни походження товарів, критерії визначення значної переробки товарів.</w:t>
      </w:r>
    </w:p>
    <w:p w:rsidR="00632CB2" w:rsidRPr="00632CB2" w:rsidRDefault="00632CB2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Взаємозв’язок між правами інтелектуальної власності та міжнародною торгівлею.</w:t>
      </w:r>
    </w:p>
    <w:p w:rsidR="00632CB2" w:rsidRPr="00632CB2" w:rsidRDefault="00632CB2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Розвитку багатосторонньої торговельної системи СОТ після Уругвайського раунду.</w:t>
      </w:r>
    </w:p>
    <w:p w:rsidR="00632CB2" w:rsidRPr="00632CB2" w:rsidRDefault="00632CB2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Створення Світової організації торгівлі, сфера її діяльності.</w:t>
      </w:r>
    </w:p>
    <w:p w:rsidR="00632CB2" w:rsidRPr="00632CB2" w:rsidRDefault="00632CB2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Особливості сільського господарства в структурі світової економіки.</w:t>
      </w:r>
    </w:p>
    <w:p w:rsidR="00632CB2" w:rsidRPr="00632CB2" w:rsidRDefault="00632CB2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Чому сільське господарство розглядається як вразливий сектор у торговельній системі СОТ?</w:t>
      </w:r>
    </w:p>
    <w:p w:rsidR="00632CB2" w:rsidRPr="00632CB2" w:rsidRDefault="00632CB2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Суть стандартів і технічних бар’єрів у міжнародній торгівлі.</w:t>
      </w:r>
    </w:p>
    <w:p w:rsidR="00632CB2" w:rsidRPr="00632CB2" w:rsidRDefault="00632CB2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Особливості застосування технічних бар’єрів у міжнародній торгівлі (технічні регламенти та стандарти, стандартизація, процедура оцінки відповідності)</w:t>
      </w:r>
    </w:p>
    <w:p w:rsidR="00632CB2" w:rsidRPr="00632CB2" w:rsidRDefault="00632CB2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 xml:space="preserve">Правила регулювання у сфері санітарних і </w:t>
      </w:r>
      <w:proofErr w:type="spellStart"/>
      <w:r w:rsidRPr="00632CB2">
        <w:rPr>
          <w:rFonts w:ascii="Times New Roman" w:hAnsi="Times New Roman" w:cs="Times New Roman"/>
          <w:sz w:val="28"/>
          <w:szCs w:val="28"/>
        </w:rPr>
        <w:t>фітосанітарних</w:t>
      </w:r>
      <w:proofErr w:type="spellEnd"/>
      <w:r w:rsidRPr="00632CB2">
        <w:rPr>
          <w:rFonts w:ascii="Times New Roman" w:hAnsi="Times New Roman" w:cs="Times New Roman"/>
          <w:sz w:val="28"/>
          <w:szCs w:val="28"/>
        </w:rPr>
        <w:t xml:space="preserve"> заходів у системі СОТ.</w:t>
      </w:r>
    </w:p>
    <w:p w:rsidR="00632CB2" w:rsidRPr="00632CB2" w:rsidRDefault="00632CB2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lastRenderedPageBreak/>
        <w:t>Еволюція системи регулювання міжнародної торгівлі текстилем та одягом.</w:t>
      </w:r>
    </w:p>
    <w:p w:rsidR="00632CB2" w:rsidRPr="00632CB2" w:rsidRDefault="00632CB2" w:rsidP="00632CB2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632CB2">
        <w:rPr>
          <w:rFonts w:ascii="Times New Roman" w:hAnsi="Times New Roman" w:cs="Times New Roman"/>
          <w:sz w:val="28"/>
          <w:szCs w:val="28"/>
        </w:rPr>
        <w:t>Поняття та види прав інтелектуальної власності, необхідність захисту на міжнародному рівні.</w:t>
      </w:r>
    </w:p>
    <w:p w:rsidR="00144C71" w:rsidRDefault="006C613D" w:rsidP="00632C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2CB2" w:rsidRPr="00632CB2" w:rsidRDefault="00632CB2" w:rsidP="00690596">
      <w:pPr>
        <w:rPr>
          <w:rFonts w:ascii="Times New Roman" w:hAnsi="Times New Roman" w:cs="Times New Roman"/>
          <w:sz w:val="28"/>
          <w:szCs w:val="28"/>
        </w:rPr>
      </w:pPr>
    </w:p>
    <w:sectPr w:rsidR="00632CB2" w:rsidRPr="00632C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57CF"/>
    <w:multiLevelType w:val="hybridMultilevel"/>
    <w:tmpl w:val="2230EE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A626C"/>
    <w:multiLevelType w:val="hybridMultilevel"/>
    <w:tmpl w:val="2230EE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B2"/>
    <w:rsid w:val="00486A76"/>
    <w:rsid w:val="005D3DB0"/>
    <w:rsid w:val="00632CB2"/>
    <w:rsid w:val="00690596"/>
    <w:rsid w:val="006C613D"/>
    <w:rsid w:val="008329F6"/>
    <w:rsid w:val="00A80755"/>
    <w:rsid w:val="00C6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15681-9AF7-4306-8BF1-2D292BF0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6412</Words>
  <Characters>3655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Ірина</cp:lastModifiedBy>
  <cp:revision>4</cp:revision>
  <dcterms:created xsi:type="dcterms:W3CDTF">2019-04-18T12:07:00Z</dcterms:created>
  <dcterms:modified xsi:type="dcterms:W3CDTF">2019-04-18T12:13:00Z</dcterms:modified>
</cp:coreProperties>
</file>